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EB294" w14:textId="3A6EE4F4" w:rsidR="001E2563" w:rsidRPr="008A4724" w:rsidRDefault="00DC600C" w:rsidP="00796DF7">
      <w:pPr>
        <w:spacing w:after="201" w:line="239" w:lineRule="auto"/>
        <w:ind w:right="-137" w:firstLine="0"/>
        <w:jc w:val="center"/>
        <w:rPr>
          <w:b/>
          <w:color w:val="auto"/>
          <w:sz w:val="56"/>
          <w:szCs w:val="56"/>
        </w:rPr>
      </w:pPr>
      <w:bookmarkStart w:id="0" w:name="_GoBack"/>
      <w:bookmarkEnd w:id="0"/>
      <w:r>
        <w:rPr>
          <w:rFonts w:hint="eastAsia"/>
          <w:b/>
          <w:color w:val="auto"/>
          <w:sz w:val="56"/>
          <w:szCs w:val="56"/>
        </w:rPr>
        <w:t>海斯坦普上半年收入为</w:t>
      </w:r>
      <w:r>
        <w:rPr>
          <w:rFonts w:hint="eastAsia"/>
          <w:b/>
          <w:color w:val="auto"/>
          <w:sz w:val="56"/>
          <w:szCs w:val="56"/>
        </w:rPr>
        <w:t>45.13</w:t>
      </w:r>
      <w:r>
        <w:rPr>
          <w:rFonts w:hint="eastAsia"/>
          <w:b/>
          <w:color w:val="auto"/>
          <w:sz w:val="56"/>
          <w:szCs w:val="56"/>
        </w:rPr>
        <w:t>亿欧元</w:t>
      </w:r>
    </w:p>
    <w:p w14:paraId="3DD8B7FF" w14:textId="01FE245E" w:rsidR="00A76EAD" w:rsidRPr="00710CDB" w:rsidRDefault="001E2563" w:rsidP="00710CDB">
      <w:pPr>
        <w:numPr>
          <w:ilvl w:val="0"/>
          <w:numId w:val="1"/>
        </w:numPr>
        <w:spacing w:after="201" w:line="239" w:lineRule="auto"/>
        <w:ind w:right="-13" w:hanging="360"/>
        <w:jc w:val="left"/>
        <w:rPr>
          <w:color w:val="auto"/>
        </w:rPr>
      </w:pPr>
      <w:r>
        <w:rPr>
          <w:rFonts w:hint="eastAsia"/>
        </w:rPr>
        <w:t>尽管市场环境充满挑战，但海斯坦普在收入和息税折旧及摊销前利润（</w:t>
      </w:r>
      <w:r>
        <w:rPr>
          <w:rFonts w:hint="eastAsia"/>
        </w:rPr>
        <w:t>EBITDA</w:t>
      </w:r>
      <w:r>
        <w:rPr>
          <w:rFonts w:hint="eastAsia"/>
        </w:rPr>
        <w:t>）方面创下了同期历史最佳记录</w:t>
      </w:r>
    </w:p>
    <w:p w14:paraId="0804E580" w14:textId="0DC5D995" w:rsidR="00A76EAD" w:rsidRPr="00E62AFA" w:rsidRDefault="00E62AFA" w:rsidP="00CB10CD">
      <w:pPr>
        <w:numPr>
          <w:ilvl w:val="0"/>
          <w:numId w:val="1"/>
        </w:numPr>
        <w:spacing w:after="201" w:line="239" w:lineRule="auto"/>
        <w:ind w:right="-13" w:hanging="360"/>
        <w:jc w:val="left"/>
        <w:rPr>
          <w:iCs/>
          <w:color w:val="auto"/>
        </w:rPr>
      </w:pPr>
      <w:r>
        <w:rPr>
          <w:rFonts w:hint="eastAsia"/>
          <w:color w:val="auto"/>
        </w:rPr>
        <w:t>报告显示第二季度收入达到</w:t>
      </w:r>
      <w:r>
        <w:rPr>
          <w:rFonts w:hint="eastAsia"/>
          <w:color w:val="auto"/>
        </w:rPr>
        <w:t>23.44</w:t>
      </w:r>
      <w:r>
        <w:rPr>
          <w:rFonts w:hint="eastAsia"/>
          <w:color w:val="auto"/>
        </w:rPr>
        <w:t>亿欧元，这意味着在恒定汇率下增长了</w:t>
      </w:r>
      <w:r>
        <w:rPr>
          <w:rFonts w:hint="eastAsia"/>
          <w:color w:val="auto"/>
        </w:rPr>
        <w:t xml:space="preserve">7.8% </w:t>
      </w:r>
    </w:p>
    <w:p w14:paraId="551FFC9A" w14:textId="2C691D39" w:rsidR="00796DF7" w:rsidRDefault="00400F99" w:rsidP="00796DF7">
      <w:pPr>
        <w:pStyle w:val="Default"/>
        <w:jc w:val="both"/>
        <w:rPr>
          <w:rFonts w:eastAsia="Arial"/>
          <w:color w:val="auto"/>
          <w:sz w:val="22"/>
          <w:szCs w:val="22"/>
        </w:rPr>
      </w:pPr>
      <w:r>
        <w:rPr>
          <w:rFonts w:hint="eastAsia"/>
          <w:b/>
          <w:bCs/>
          <w:color w:val="auto"/>
          <w:sz w:val="22"/>
          <w:szCs w:val="22"/>
        </w:rPr>
        <w:t>马德里，</w:t>
      </w:r>
      <w:r>
        <w:rPr>
          <w:rFonts w:hint="eastAsia"/>
          <w:b/>
          <w:bCs/>
          <w:color w:val="auto"/>
          <w:sz w:val="22"/>
          <w:szCs w:val="22"/>
        </w:rPr>
        <w:t>2019</w:t>
      </w:r>
      <w:r>
        <w:rPr>
          <w:rFonts w:hint="eastAsia"/>
          <w:b/>
          <w:bCs/>
          <w:color w:val="auto"/>
          <w:sz w:val="22"/>
          <w:szCs w:val="22"/>
        </w:rPr>
        <w:t>年</w:t>
      </w:r>
      <w:r>
        <w:rPr>
          <w:rFonts w:hint="eastAsia"/>
          <w:b/>
          <w:bCs/>
          <w:color w:val="auto"/>
          <w:sz w:val="22"/>
          <w:szCs w:val="22"/>
        </w:rPr>
        <w:t>7</w:t>
      </w:r>
      <w:r>
        <w:rPr>
          <w:rFonts w:hint="eastAsia"/>
          <w:b/>
          <w:bCs/>
          <w:color w:val="auto"/>
          <w:sz w:val="22"/>
          <w:szCs w:val="22"/>
        </w:rPr>
        <w:t>月</w:t>
      </w:r>
      <w:r>
        <w:rPr>
          <w:rFonts w:hint="eastAsia"/>
          <w:b/>
          <w:bCs/>
          <w:color w:val="auto"/>
          <w:sz w:val="22"/>
          <w:szCs w:val="22"/>
        </w:rPr>
        <w:t>25</w:t>
      </w:r>
      <w:r>
        <w:rPr>
          <w:rFonts w:hint="eastAsia"/>
          <w:b/>
          <w:bCs/>
          <w:color w:val="auto"/>
          <w:sz w:val="22"/>
          <w:szCs w:val="22"/>
        </w:rPr>
        <w:t>日</w:t>
      </w:r>
      <w:r>
        <w:rPr>
          <w:rFonts w:hint="eastAsia"/>
          <w:color w:val="auto"/>
          <w:sz w:val="22"/>
          <w:szCs w:val="22"/>
        </w:rPr>
        <w:t xml:space="preserve"> - </w:t>
      </w:r>
      <w:r>
        <w:rPr>
          <w:rFonts w:hint="eastAsia"/>
          <w:color w:val="auto"/>
          <w:sz w:val="22"/>
          <w:szCs w:val="22"/>
        </w:rPr>
        <w:t>海斯坦普，是一家专门为汽车行业设计、开发和制造高端汽车零部件的跨国公司，现已公布</w:t>
      </w:r>
      <w:r>
        <w:rPr>
          <w:rFonts w:hint="eastAsia"/>
          <w:color w:val="auto"/>
          <w:sz w:val="22"/>
          <w:szCs w:val="22"/>
        </w:rPr>
        <w:t>2019</w:t>
      </w:r>
      <w:r>
        <w:rPr>
          <w:rFonts w:hint="eastAsia"/>
          <w:color w:val="auto"/>
          <w:sz w:val="22"/>
          <w:szCs w:val="22"/>
        </w:rPr>
        <w:t>年第二季度和上半年的业绩。</w:t>
      </w:r>
      <w:r>
        <w:rPr>
          <w:rFonts w:hint="eastAsia"/>
          <w:color w:val="auto"/>
          <w:sz w:val="22"/>
          <w:szCs w:val="22"/>
        </w:rPr>
        <w:t xml:space="preserve"> </w:t>
      </w:r>
    </w:p>
    <w:p w14:paraId="479F76E0" w14:textId="77777777" w:rsidR="00796DF7" w:rsidRPr="004A5C39" w:rsidRDefault="00796DF7" w:rsidP="00796DF7">
      <w:pPr>
        <w:pStyle w:val="Default"/>
        <w:jc w:val="both"/>
        <w:rPr>
          <w:rFonts w:eastAsia="Arial"/>
          <w:color w:val="auto"/>
          <w:sz w:val="22"/>
          <w:szCs w:val="22"/>
          <w:lang w:bidi="es-ES"/>
        </w:rPr>
      </w:pPr>
    </w:p>
    <w:p w14:paraId="47147C21" w14:textId="161DD9CA" w:rsidR="00710CDB" w:rsidRPr="00796DF7" w:rsidRDefault="00710CDB" w:rsidP="00796DF7">
      <w:r>
        <w:rPr>
          <w:rFonts w:hint="eastAsia"/>
        </w:rPr>
        <w:t>第二季度经历了一个积极的走势，表现优于第一季度，考虑到在第二季度所面临的艰苦环境，取得这样的业绩尤其可贵。报告显示第二季度收入达到</w:t>
      </w:r>
      <w:r>
        <w:rPr>
          <w:rFonts w:hint="eastAsia"/>
        </w:rPr>
        <w:t>23.44</w:t>
      </w:r>
      <w:r>
        <w:rPr>
          <w:rFonts w:hint="eastAsia"/>
        </w:rPr>
        <w:t>亿欧元，这意味着在恒定汇率下增长了</w:t>
      </w:r>
      <w:r>
        <w:rPr>
          <w:rFonts w:hint="eastAsia"/>
        </w:rPr>
        <w:t>7.8%</w:t>
      </w:r>
      <w:r>
        <w:rPr>
          <w:rFonts w:hint="eastAsia"/>
        </w:rPr>
        <w:t>公司第二季度的息税折旧及摊销前利润（</w:t>
      </w:r>
      <w:r>
        <w:rPr>
          <w:rFonts w:hint="eastAsia"/>
        </w:rPr>
        <w:t>EBITDA</w:t>
      </w:r>
      <w:r>
        <w:rPr>
          <w:rFonts w:hint="eastAsia"/>
        </w:rPr>
        <w:t>）为</w:t>
      </w:r>
      <w:r>
        <w:rPr>
          <w:rFonts w:hint="eastAsia"/>
        </w:rPr>
        <w:t>2.72</w:t>
      </w:r>
      <w:r>
        <w:rPr>
          <w:rFonts w:hint="eastAsia"/>
        </w:rPr>
        <w:t>亿欧元。</w:t>
      </w:r>
      <w:r>
        <w:rPr>
          <w:rFonts w:hint="eastAsia"/>
        </w:rPr>
        <w:t xml:space="preserve"> </w:t>
      </w:r>
    </w:p>
    <w:tbl>
      <w:tblPr>
        <w:tblW w:w="8640" w:type="dxa"/>
        <w:tblCellMar>
          <w:left w:w="0" w:type="dxa"/>
          <w:right w:w="0" w:type="dxa"/>
        </w:tblCellMar>
        <w:tblLook w:val="04A0" w:firstRow="1" w:lastRow="0" w:firstColumn="1" w:lastColumn="0" w:noHBand="0" w:noVBand="1"/>
      </w:tblPr>
      <w:tblGrid>
        <w:gridCol w:w="1970"/>
        <w:gridCol w:w="1691"/>
        <w:gridCol w:w="1649"/>
        <w:gridCol w:w="3330"/>
      </w:tblGrid>
      <w:tr w:rsidR="000E5573" w14:paraId="3794470C" w14:textId="77777777" w:rsidTr="00453626">
        <w:trPr>
          <w:trHeight w:val="399"/>
        </w:trPr>
        <w:tc>
          <w:tcPr>
            <w:tcW w:w="1970" w:type="dxa"/>
            <w:shd w:val="clear" w:color="auto" w:fill="222A35"/>
            <w:tcMar>
              <w:top w:w="0" w:type="dxa"/>
              <w:left w:w="108" w:type="dxa"/>
              <w:bottom w:w="0" w:type="dxa"/>
              <w:right w:w="108" w:type="dxa"/>
            </w:tcMar>
            <w:vAlign w:val="center"/>
            <w:hideMark/>
          </w:tcPr>
          <w:p w14:paraId="77EAE370" w14:textId="77777777" w:rsidR="000E5573" w:rsidRDefault="000E5573" w:rsidP="00E43796">
            <w:pPr>
              <w:spacing w:before="240" w:line="228" w:lineRule="auto"/>
              <w:ind w:right="-13" w:firstLine="0"/>
              <w:jc w:val="center"/>
              <w:rPr>
                <w:b/>
                <w:bCs/>
                <w:color w:val="FFFFFF"/>
                <w:sz w:val="18"/>
                <w:szCs w:val="18"/>
              </w:rPr>
            </w:pPr>
            <w:r>
              <w:rPr>
                <w:rFonts w:hint="eastAsia"/>
                <w:b/>
                <w:bCs/>
                <w:color w:val="FFFFFF"/>
                <w:sz w:val="18"/>
                <w:szCs w:val="18"/>
              </w:rPr>
              <w:t>百万欧元</w:t>
            </w:r>
          </w:p>
        </w:tc>
        <w:tc>
          <w:tcPr>
            <w:tcW w:w="1691" w:type="dxa"/>
            <w:shd w:val="clear" w:color="auto" w:fill="222A35"/>
            <w:tcMar>
              <w:top w:w="0" w:type="dxa"/>
              <w:left w:w="108" w:type="dxa"/>
              <w:bottom w:w="0" w:type="dxa"/>
              <w:right w:w="108" w:type="dxa"/>
            </w:tcMar>
            <w:vAlign w:val="center"/>
            <w:hideMark/>
          </w:tcPr>
          <w:p w14:paraId="09243DA5" w14:textId="77777777" w:rsidR="000E5573" w:rsidRDefault="000E5573" w:rsidP="00E43796">
            <w:pPr>
              <w:spacing w:before="240" w:line="228" w:lineRule="auto"/>
              <w:ind w:right="-13" w:firstLine="0"/>
              <w:jc w:val="center"/>
              <w:rPr>
                <w:b/>
                <w:bCs/>
                <w:color w:val="FFFFFF"/>
                <w:sz w:val="18"/>
                <w:szCs w:val="18"/>
              </w:rPr>
            </w:pPr>
            <w:r>
              <w:rPr>
                <w:rFonts w:hint="eastAsia"/>
                <w:b/>
                <w:bCs/>
                <w:color w:val="FFFFFF"/>
                <w:sz w:val="18"/>
                <w:szCs w:val="18"/>
              </w:rPr>
              <w:t>2018</w:t>
            </w:r>
            <w:r>
              <w:rPr>
                <w:rFonts w:hint="eastAsia"/>
                <w:b/>
                <w:bCs/>
                <w:color w:val="FFFFFF"/>
                <w:sz w:val="18"/>
                <w:szCs w:val="18"/>
              </w:rPr>
              <w:t>第二季度</w:t>
            </w:r>
          </w:p>
        </w:tc>
        <w:tc>
          <w:tcPr>
            <w:tcW w:w="1649" w:type="dxa"/>
            <w:shd w:val="clear" w:color="auto" w:fill="222A35"/>
            <w:tcMar>
              <w:top w:w="0" w:type="dxa"/>
              <w:left w:w="108" w:type="dxa"/>
              <w:bottom w:w="0" w:type="dxa"/>
              <w:right w:w="108" w:type="dxa"/>
            </w:tcMar>
            <w:vAlign w:val="center"/>
            <w:hideMark/>
          </w:tcPr>
          <w:p w14:paraId="4E5DA374" w14:textId="77777777" w:rsidR="000E5573" w:rsidRDefault="000E5573" w:rsidP="00E43796">
            <w:pPr>
              <w:spacing w:before="240" w:line="228" w:lineRule="auto"/>
              <w:ind w:right="-13" w:firstLine="0"/>
              <w:jc w:val="center"/>
              <w:rPr>
                <w:b/>
                <w:bCs/>
                <w:color w:val="FFFFFF"/>
                <w:sz w:val="18"/>
                <w:szCs w:val="18"/>
              </w:rPr>
            </w:pPr>
            <w:r>
              <w:rPr>
                <w:rFonts w:hint="eastAsia"/>
                <w:b/>
                <w:bCs/>
                <w:color w:val="FFFFFF"/>
                <w:sz w:val="18"/>
                <w:szCs w:val="18"/>
              </w:rPr>
              <w:t>2019</w:t>
            </w:r>
            <w:r>
              <w:rPr>
                <w:rFonts w:hint="eastAsia"/>
                <w:b/>
                <w:bCs/>
                <w:color w:val="FFFFFF"/>
                <w:sz w:val="18"/>
                <w:szCs w:val="18"/>
              </w:rPr>
              <w:t>第二季度</w:t>
            </w:r>
          </w:p>
        </w:tc>
        <w:tc>
          <w:tcPr>
            <w:tcW w:w="3330" w:type="dxa"/>
            <w:shd w:val="clear" w:color="auto" w:fill="222A35"/>
            <w:vAlign w:val="center"/>
            <w:hideMark/>
          </w:tcPr>
          <w:p w14:paraId="3A0D9EDD" w14:textId="77777777" w:rsidR="000E5573" w:rsidRDefault="000E5573" w:rsidP="00E43796">
            <w:pPr>
              <w:spacing w:before="240" w:line="228" w:lineRule="auto"/>
              <w:ind w:right="-11" w:firstLine="0"/>
              <w:jc w:val="center"/>
              <w:rPr>
                <w:b/>
                <w:bCs/>
                <w:color w:val="FFFFFF"/>
                <w:sz w:val="18"/>
                <w:szCs w:val="18"/>
              </w:rPr>
            </w:pPr>
            <w:r>
              <w:rPr>
                <w:rFonts w:hint="eastAsia"/>
                <w:b/>
                <w:bCs/>
                <w:color w:val="FFFFFF"/>
                <w:sz w:val="18"/>
                <w:szCs w:val="18"/>
              </w:rPr>
              <w:t>按不变汇率计增幅（</w:t>
            </w:r>
            <w:r>
              <w:rPr>
                <w:rFonts w:hint="eastAsia"/>
                <w:b/>
                <w:bCs/>
                <w:color w:val="FFFFFF"/>
                <w:sz w:val="18"/>
                <w:szCs w:val="18"/>
              </w:rPr>
              <w:t>%</w:t>
            </w:r>
            <w:r>
              <w:rPr>
                <w:rFonts w:hint="eastAsia"/>
                <w:b/>
                <w:bCs/>
                <w:color w:val="FFFFFF"/>
                <w:sz w:val="18"/>
                <w:szCs w:val="18"/>
              </w:rPr>
              <w:t>）</w:t>
            </w:r>
          </w:p>
        </w:tc>
      </w:tr>
      <w:tr w:rsidR="000E5573" w14:paraId="7775E9AA" w14:textId="77777777" w:rsidTr="0030138C">
        <w:trPr>
          <w:trHeight w:val="447"/>
        </w:trPr>
        <w:tc>
          <w:tcPr>
            <w:tcW w:w="1970" w:type="dxa"/>
            <w:tcMar>
              <w:top w:w="0" w:type="dxa"/>
              <w:left w:w="108" w:type="dxa"/>
              <w:bottom w:w="0" w:type="dxa"/>
              <w:right w:w="108" w:type="dxa"/>
            </w:tcMar>
            <w:vAlign w:val="center"/>
            <w:hideMark/>
          </w:tcPr>
          <w:p w14:paraId="4E766B21" w14:textId="77777777" w:rsidR="000E5573" w:rsidRDefault="000E5573" w:rsidP="00B70BBA">
            <w:pPr>
              <w:spacing w:after="201" w:line="228" w:lineRule="auto"/>
              <w:ind w:right="-13"/>
              <w:jc w:val="center"/>
              <w:rPr>
                <w:b/>
                <w:bCs/>
                <w:sz w:val="18"/>
                <w:szCs w:val="18"/>
              </w:rPr>
            </w:pPr>
            <w:r>
              <w:rPr>
                <w:rFonts w:hint="eastAsia"/>
                <w:b/>
                <w:bCs/>
                <w:sz w:val="18"/>
                <w:szCs w:val="18"/>
              </w:rPr>
              <w:t>收入</w:t>
            </w:r>
          </w:p>
        </w:tc>
        <w:tc>
          <w:tcPr>
            <w:tcW w:w="1691" w:type="dxa"/>
            <w:tcMar>
              <w:top w:w="0" w:type="dxa"/>
              <w:left w:w="108" w:type="dxa"/>
              <w:bottom w:w="0" w:type="dxa"/>
              <w:right w:w="108" w:type="dxa"/>
            </w:tcMar>
            <w:vAlign w:val="center"/>
            <w:hideMark/>
          </w:tcPr>
          <w:p w14:paraId="2FF8ADAD" w14:textId="77777777" w:rsidR="000E5573" w:rsidRDefault="000E5573" w:rsidP="00B70BBA">
            <w:pPr>
              <w:spacing w:after="201" w:line="228" w:lineRule="auto"/>
              <w:ind w:right="-13"/>
              <w:jc w:val="center"/>
              <w:rPr>
                <w:color w:val="auto"/>
                <w:sz w:val="18"/>
                <w:szCs w:val="18"/>
              </w:rPr>
            </w:pPr>
            <w:r>
              <w:rPr>
                <w:rFonts w:hint="eastAsia"/>
                <w:sz w:val="18"/>
                <w:szCs w:val="18"/>
              </w:rPr>
              <w:t>2,203</w:t>
            </w:r>
          </w:p>
        </w:tc>
        <w:tc>
          <w:tcPr>
            <w:tcW w:w="1649" w:type="dxa"/>
            <w:tcMar>
              <w:top w:w="0" w:type="dxa"/>
              <w:left w:w="108" w:type="dxa"/>
              <w:bottom w:w="0" w:type="dxa"/>
              <w:right w:w="108" w:type="dxa"/>
            </w:tcMar>
            <w:vAlign w:val="center"/>
            <w:hideMark/>
          </w:tcPr>
          <w:p w14:paraId="722B93C5" w14:textId="77777777" w:rsidR="000E5573" w:rsidRDefault="000E5573" w:rsidP="00B70BBA">
            <w:pPr>
              <w:spacing w:after="201" w:line="228" w:lineRule="auto"/>
              <w:ind w:right="-13"/>
              <w:jc w:val="center"/>
              <w:rPr>
                <w:sz w:val="18"/>
                <w:szCs w:val="18"/>
              </w:rPr>
            </w:pPr>
            <w:r>
              <w:rPr>
                <w:rFonts w:hint="eastAsia"/>
                <w:sz w:val="18"/>
                <w:szCs w:val="18"/>
              </w:rPr>
              <w:t xml:space="preserve">2,344 </w:t>
            </w:r>
          </w:p>
        </w:tc>
        <w:tc>
          <w:tcPr>
            <w:tcW w:w="3330" w:type="dxa"/>
            <w:vAlign w:val="center"/>
            <w:hideMark/>
          </w:tcPr>
          <w:p w14:paraId="458E1985" w14:textId="77777777" w:rsidR="000E5573" w:rsidRDefault="000E5573" w:rsidP="00B70BBA">
            <w:pPr>
              <w:spacing w:after="201" w:line="228" w:lineRule="auto"/>
              <w:ind w:right="-13"/>
              <w:jc w:val="center"/>
              <w:rPr>
                <w:sz w:val="18"/>
                <w:szCs w:val="18"/>
              </w:rPr>
            </w:pPr>
            <w:r>
              <w:rPr>
                <w:rFonts w:hint="eastAsia"/>
                <w:sz w:val="18"/>
                <w:szCs w:val="18"/>
              </w:rPr>
              <w:t>7.8%</w:t>
            </w:r>
          </w:p>
        </w:tc>
      </w:tr>
      <w:tr w:rsidR="000E5573" w14:paraId="190D9B97" w14:textId="77777777" w:rsidTr="0030138C">
        <w:trPr>
          <w:trHeight w:val="329"/>
        </w:trPr>
        <w:tc>
          <w:tcPr>
            <w:tcW w:w="1970" w:type="dxa"/>
            <w:tcMar>
              <w:top w:w="0" w:type="dxa"/>
              <w:left w:w="108" w:type="dxa"/>
              <w:bottom w:w="0" w:type="dxa"/>
              <w:right w:w="108" w:type="dxa"/>
            </w:tcMar>
            <w:vAlign w:val="center"/>
            <w:hideMark/>
          </w:tcPr>
          <w:p w14:paraId="0192239C" w14:textId="77777777" w:rsidR="000E5573" w:rsidRDefault="000E5573" w:rsidP="00B70BBA">
            <w:pPr>
              <w:spacing w:after="201" w:line="228" w:lineRule="auto"/>
              <w:ind w:right="-13"/>
              <w:jc w:val="center"/>
              <w:rPr>
                <w:b/>
                <w:bCs/>
                <w:sz w:val="18"/>
                <w:szCs w:val="18"/>
              </w:rPr>
            </w:pPr>
            <w:r>
              <w:rPr>
                <w:rFonts w:hint="eastAsia"/>
                <w:b/>
                <w:bCs/>
                <w:sz w:val="18"/>
                <w:szCs w:val="18"/>
              </w:rPr>
              <w:t>EBITDA</w:t>
            </w:r>
          </w:p>
        </w:tc>
        <w:tc>
          <w:tcPr>
            <w:tcW w:w="1691" w:type="dxa"/>
            <w:tcMar>
              <w:top w:w="0" w:type="dxa"/>
              <w:left w:w="108" w:type="dxa"/>
              <w:bottom w:w="0" w:type="dxa"/>
              <w:right w:w="108" w:type="dxa"/>
            </w:tcMar>
            <w:vAlign w:val="center"/>
            <w:hideMark/>
          </w:tcPr>
          <w:p w14:paraId="5E6CCD18" w14:textId="77777777" w:rsidR="000E5573" w:rsidRDefault="000E5573" w:rsidP="00B70BBA">
            <w:pPr>
              <w:spacing w:after="201" w:line="228" w:lineRule="auto"/>
              <w:ind w:right="-13"/>
              <w:jc w:val="center"/>
              <w:rPr>
                <w:sz w:val="18"/>
                <w:szCs w:val="18"/>
              </w:rPr>
            </w:pPr>
            <w:r>
              <w:rPr>
                <w:rFonts w:hint="eastAsia"/>
                <w:sz w:val="18"/>
                <w:szCs w:val="18"/>
              </w:rPr>
              <w:t>254</w:t>
            </w:r>
          </w:p>
        </w:tc>
        <w:tc>
          <w:tcPr>
            <w:tcW w:w="1649" w:type="dxa"/>
            <w:tcMar>
              <w:top w:w="0" w:type="dxa"/>
              <w:left w:w="108" w:type="dxa"/>
              <w:bottom w:w="0" w:type="dxa"/>
              <w:right w:w="108" w:type="dxa"/>
            </w:tcMar>
            <w:vAlign w:val="center"/>
            <w:hideMark/>
          </w:tcPr>
          <w:p w14:paraId="0F04FF1E" w14:textId="77777777" w:rsidR="000E5573" w:rsidRDefault="000E5573" w:rsidP="00B70BBA">
            <w:pPr>
              <w:spacing w:after="201" w:line="228" w:lineRule="auto"/>
              <w:ind w:right="-13"/>
              <w:jc w:val="center"/>
              <w:rPr>
                <w:sz w:val="18"/>
                <w:szCs w:val="18"/>
              </w:rPr>
            </w:pPr>
            <w:r>
              <w:rPr>
                <w:rFonts w:hint="eastAsia"/>
                <w:sz w:val="18"/>
                <w:szCs w:val="18"/>
              </w:rPr>
              <w:t>272</w:t>
            </w:r>
          </w:p>
        </w:tc>
        <w:tc>
          <w:tcPr>
            <w:tcW w:w="3330" w:type="dxa"/>
            <w:vAlign w:val="center"/>
            <w:hideMark/>
          </w:tcPr>
          <w:p w14:paraId="3CCCD4D4" w14:textId="77777777" w:rsidR="000E5573" w:rsidRDefault="000E5573" w:rsidP="00B70BBA">
            <w:pPr>
              <w:spacing w:after="201" w:line="228" w:lineRule="auto"/>
              <w:ind w:right="-13"/>
              <w:jc w:val="center"/>
              <w:rPr>
                <w:sz w:val="18"/>
                <w:szCs w:val="18"/>
              </w:rPr>
            </w:pPr>
            <w:r>
              <w:rPr>
                <w:rFonts w:hint="eastAsia"/>
                <w:sz w:val="18"/>
                <w:szCs w:val="18"/>
              </w:rPr>
              <w:t>8.9%</w:t>
            </w:r>
          </w:p>
        </w:tc>
      </w:tr>
      <w:tr w:rsidR="000E5573" w14:paraId="2F6410A7" w14:textId="77777777" w:rsidTr="0030138C">
        <w:trPr>
          <w:trHeight w:val="329"/>
        </w:trPr>
        <w:tc>
          <w:tcPr>
            <w:tcW w:w="1970" w:type="dxa"/>
            <w:tcMar>
              <w:top w:w="0" w:type="dxa"/>
              <w:left w:w="108" w:type="dxa"/>
              <w:bottom w:w="0" w:type="dxa"/>
              <w:right w:w="108" w:type="dxa"/>
            </w:tcMar>
            <w:vAlign w:val="center"/>
            <w:hideMark/>
          </w:tcPr>
          <w:p w14:paraId="3A16A9C7" w14:textId="77777777" w:rsidR="000E5573" w:rsidRDefault="000E5573" w:rsidP="00B70BBA">
            <w:pPr>
              <w:spacing w:after="201" w:line="228" w:lineRule="auto"/>
              <w:ind w:right="-13"/>
              <w:jc w:val="center"/>
              <w:rPr>
                <w:b/>
                <w:bCs/>
                <w:sz w:val="18"/>
                <w:szCs w:val="18"/>
              </w:rPr>
            </w:pPr>
            <w:r>
              <w:rPr>
                <w:rFonts w:hint="eastAsia"/>
                <w:b/>
                <w:bCs/>
                <w:sz w:val="18"/>
                <w:szCs w:val="18"/>
              </w:rPr>
              <w:t>EBIT</w:t>
            </w:r>
          </w:p>
        </w:tc>
        <w:tc>
          <w:tcPr>
            <w:tcW w:w="1691" w:type="dxa"/>
            <w:tcMar>
              <w:top w:w="0" w:type="dxa"/>
              <w:left w:w="108" w:type="dxa"/>
              <w:bottom w:w="0" w:type="dxa"/>
              <w:right w:w="108" w:type="dxa"/>
            </w:tcMar>
            <w:vAlign w:val="center"/>
            <w:hideMark/>
          </w:tcPr>
          <w:p w14:paraId="127BFA6F" w14:textId="77777777" w:rsidR="000E5573" w:rsidRDefault="000E5573" w:rsidP="00B70BBA">
            <w:pPr>
              <w:spacing w:after="201" w:line="228" w:lineRule="auto"/>
              <w:ind w:right="-13"/>
              <w:jc w:val="center"/>
              <w:rPr>
                <w:sz w:val="18"/>
                <w:szCs w:val="18"/>
              </w:rPr>
            </w:pPr>
            <w:r>
              <w:rPr>
                <w:rFonts w:hint="eastAsia"/>
                <w:sz w:val="18"/>
                <w:szCs w:val="18"/>
              </w:rPr>
              <w:t>146</w:t>
            </w:r>
          </w:p>
        </w:tc>
        <w:tc>
          <w:tcPr>
            <w:tcW w:w="1649" w:type="dxa"/>
            <w:tcMar>
              <w:top w:w="0" w:type="dxa"/>
              <w:left w:w="108" w:type="dxa"/>
              <w:bottom w:w="0" w:type="dxa"/>
              <w:right w:w="108" w:type="dxa"/>
            </w:tcMar>
            <w:vAlign w:val="center"/>
            <w:hideMark/>
          </w:tcPr>
          <w:p w14:paraId="39431E36" w14:textId="77777777" w:rsidR="000E5573" w:rsidRDefault="000E5573" w:rsidP="00B70BBA">
            <w:pPr>
              <w:spacing w:after="201" w:line="228" w:lineRule="auto"/>
              <w:ind w:right="-13"/>
              <w:jc w:val="center"/>
              <w:rPr>
                <w:sz w:val="18"/>
                <w:szCs w:val="18"/>
              </w:rPr>
            </w:pPr>
            <w:r>
              <w:rPr>
                <w:rFonts w:hint="eastAsia"/>
                <w:sz w:val="18"/>
                <w:szCs w:val="18"/>
              </w:rPr>
              <w:t>135</w:t>
            </w:r>
          </w:p>
        </w:tc>
        <w:tc>
          <w:tcPr>
            <w:tcW w:w="3330" w:type="dxa"/>
            <w:vAlign w:val="center"/>
          </w:tcPr>
          <w:p w14:paraId="6FAF33D3" w14:textId="77777777" w:rsidR="000E5573" w:rsidRDefault="000E5573" w:rsidP="00B70BBA">
            <w:pPr>
              <w:spacing w:after="201" w:line="228" w:lineRule="auto"/>
              <w:ind w:right="-13"/>
              <w:jc w:val="center"/>
              <w:rPr>
                <w:sz w:val="18"/>
                <w:szCs w:val="18"/>
                <w:lang w:val="en-US"/>
              </w:rPr>
            </w:pPr>
          </w:p>
        </w:tc>
      </w:tr>
      <w:tr w:rsidR="000E5573" w14:paraId="4A333EFF" w14:textId="77777777" w:rsidTr="0030138C">
        <w:trPr>
          <w:trHeight w:val="215"/>
        </w:trPr>
        <w:tc>
          <w:tcPr>
            <w:tcW w:w="1970" w:type="dxa"/>
            <w:tcBorders>
              <w:top w:val="nil"/>
              <w:left w:val="nil"/>
              <w:bottom w:val="single" w:sz="8" w:space="0" w:color="auto"/>
              <w:right w:val="nil"/>
            </w:tcBorders>
            <w:tcMar>
              <w:top w:w="0" w:type="dxa"/>
              <w:left w:w="108" w:type="dxa"/>
              <w:bottom w:w="0" w:type="dxa"/>
              <w:right w:w="108" w:type="dxa"/>
            </w:tcMar>
            <w:vAlign w:val="center"/>
            <w:hideMark/>
          </w:tcPr>
          <w:p w14:paraId="2CDF98D5" w14:textId="77777777" w:rsidR="000E5573" w:rsidRDefault="000E5573" w:rsidP="00B70BBA">
            <w:pPr>
              <w:spacing w:after="201" w:line="228" w:lineRule="auto"/>
              <w:ind w:right="-13"/>
              <w:jc w:val="center"/>
              <w:rPr>
                <w:b/>
                <w:bCs/>
                <w:sz w:val="18"/>
                <w:szCs w:val="18"/>
              </w:rPr>
            </w:pPr>
            <w:r>
              <w:rPr>
                <w:rFonts w:hint="eastAsia"/>
                <w:b/>
                <w:bCs/>
                <w:sz w:val="18"/>
                <w:szCs w:val="18"/>
              </w:rPr>
              <w:t>净利润</w:t>
            </w:r>
          </w:p>
        </w:tc>
        <w:tc>
          <w:tcPr>
            <w:tcW w:w="1691" w:type="dxa"/>
            <w:tcBorders>
              <w:top w:val="nil"/>
              <w:left w:val="nil"/>
              <w:bottom w:val="single" w:sz="8" w:space="0" w:color="auto"/>
              <w:right w:val="nil"/>
            </w:tcBorders>
            <w:tcMar>
              <w:top w:w="0" w:type="dxa"/>
              <w:left w:w="108" w:type="dxa"/>
              <w:bottom w:w="0" w:type="dxa"/>
              <w:right w:w="108" w:type="dxa"/>
            </w:tcMar>
            <w:vAlign w:val="center"/>
            <w:hideMark/>
          </w:tcPr>
          <w:p w14:paraId="18F6E5C5" w14:textId="77777777" w:rsidR="000E5573" w:rsidRDefault="000E5573" w:rsidP="00B70BBA">
            <w:pPr>
              <w:spacing w:after="201" w:line="228" w:lineRule="auto"/>
              <w:ind w:right="-13"/>
              <w:jc w:val="center"/>
              <w:rPr>
                <w:sz w:val="18"/>
                <w:szCs w:val="18"/>
              </w:rPr>
            </w:pPr>
            <w:r>
              <w:rPr>
                <w:rFonts w:hint="eastAsia"/>
                <w:sz w:val="18"/>
                <w:szCs w:val="18"/>
              </w:rPr>
              <w:t>69</w:t>
            </w:r>
          </w:p>
        </w:tc>
        <w:tc>
          <w:tcPr>
            <w:tcW w:w="1649" w:type="dxa"/>
            <w:tcBorders>
              <w:top w:val="nil"/>
              <w:left w:val="nil"/>
              <w:bottom w:val="single" w:sz="8" w:space="0" w:color="auto"/>
              <w:right w:val="nil"/>
            </w:tcBorders>
            <w:tcMar>
              <w:top w:w="0" w:type="dxa"/>
              <w:left w:w="108" w:type="dxa"/>
              <w:bottom w:w="0" w:type="dxa"/>
              <w:right w:w="108" w:type="dxa"/>
            </w:tcMar>
            <w:vAlign w:val="center"/>
            <w:hideMark/>
          </w:tcPr>
          <w:p w14:paraId="52D9677E" w14:textId="77777777" w:rsidR="000E5573" w:rsidRDefault="000E5573" w:rsidP="00B70BBA">
            <w:pPr>
              <w:spacing w:after="201" w:line="228" w:lineRule="auto"/>
              <w:ind w:right="-13"/>
              <w:jc w:val="center"/>
              <w:rPr>
                <w:sz w:val="18"/>
                <w:szCs w:val="18"/>
              </w:rPr>
            </w:pPr>
            <w:r>
              <w:rPr>
                <w:rFonts w:hint="eastAsia"/>
                <w:sz w:val="18"/>
                <w:szCs w:val="18"/>
              </w:rPr>
              <w:t>59</w:t>
            </w:r>
          </w:p>
        </w:tc>
        <w:tc>
          <w:tcPr>
            <w:tcW w:w="3330" w:type="dxa"/>
            <w:tcBorders>
              <w:top w:val="nil"/>
              <w:left w:val="nil"/>
              <w:bottom w:val="single" w:sz="8" w:space="0" w:color="auto"/>
              <w:right w:val="nil"/>
            </w:tcBorders>
            <w:vAlign w:val="center"/>
          </w:tcPr>
          <w:p w14:paraId="15ADDE3B" w14:textId="77777777" w:rsidR="000E5573" w:rsidRDefault="000E5573" w:rsidP="00B70BBA">
            <w:pPr>
              <w:spacing w:after="201" w:line="228" w:lineRule="auto"/>
              <w:ind w:right="-13"/>
              <w:jc w:val="center"/>
              <w:rPr>
                <w:sz w:val="18"/>
                <w:szCs w:val="18"/>
                <w:lang w:val="en-GB"/>
              </w:rPr>
            </w:pPr>
          </w:p>
        </w:tc>
      </w:tr>
    </w:tbl>
    <w:p w14:paraId="2B049401" w14:textId="4EF0F910" w:rsidR="00710CDB" w:rsidRPr="00796DF7" w:rsidRDefault="000E5573" w:rsidP="0030138C">
      <w:pPr>
        <w:ind w:firstLine="0"/>
        <w:jc w:val="center"/>
        <w:rPr>
          <w:b/>
          <w:i/>
          <w:sz w:val="18"/>
          <w:szCs w:val="18"/>
        </w:rPr>
      </w:pPr>
      <w:r>
        <w:rPr>
          <w:rFonts w:hint="eastAsia"/>
          <w:i/>
          <w:sz w:val="18"/>
          <w:szCs w:val="18"/>
        </w:rPr>
        <w:t>备注：自</w:t>
      </w:r>
      <w:r>
        <w:rPr>
          <w:rFonts w:hint="eastAsia"/>
          <w:i/>
          <w:sz w:val="18"/>
          <w:szCs w:val="18"/>
        </w:rPr>
        <w:t>2019</w:t>
      </w:r>
      <w:r>
        <w:rPr>
          <w:rFonts w:hint="eastAsia"/>
          <w:i/>
          <w:sz w:val="18"/>
          <w:szCs w:val="18"/>
        </w:rPr>
        <w:t>年</w:t>
      </w:r>
      <w:r>
        <w:rPr>
          <w:rFonts w:hint="eastAsia"/>
          <w:i/>
          <w:sz w:val="18"/>
          <w:szCs w:val="18"/>
        </w:rPr>
        <w:t>1</w:t>
      </w:r>
      <w:r>
        <w:rPr>
          <w:rFonts w:hint="eastAsia"/>
          <w:i/>
          <w:sz w:val="18"/>
          <w:szCs w:val="18"/>
        </w:rPr>
        <w:t>月</w:t>
      </w:r>
      <w:r>
        <w:rPr>
          <w:rFonts w:hint="eastAsia"/>
          <w:i/>
          <w:sz w:val="18"/>
          <w:szCs w:val="18"/>
        </w:rPr>
        <w:t>1</w:t>
      </w:r>
      <w:r>
        <w:rPr>
          <w:rFonts w:hint="eastAsia"/>
          <w:i/>
          <w:sz w:val="18"/>
          <w:szCs w:val="18"/>
        </w:rPr>
        <w:t>日起包含《国际财务报告准则第</w:t>
      </w:r>
      <w:r>
        <w:rPr>
          <w:rFonts w:hint="eastAsia"/>
          <w:i/>
          <w:sz w:val="18"/>
          <w:szCs w:val="18"/>
        </w:rPr>
        <w:t>16</w:t>
      </w:r>
      <w:r>
        <w:rPr>
          <w:rFonts w:hint="eastAsia"/>
          <w:i/>
          <w:sz w:val="18"/>
          <w:szCs w:val="18"/>
        </w:rPr>
        <w:t>号》规定的经营租赁调整</w:t>
      </w:r>
    </w:p>
    <w:p w14:paraId="3C6DFA1C" w14:textId="220FEECD" w:rsidR="00E43796" w:rsidRDefault="00710CDB" w:rsidP="00731783">
      <w:pPr>
        <w:spacing w:after="201" w:line="239" w:lineRule="auto"/>
        <w:ind w:right="-13"/>
      </w:pPr>
      <w:r>
        <w:rPr>
          <w:rFonts w:hint="eastAsia"/>
        </w:rPr>
        <w:t>报告显示海斯坦普</w:t>
      </w:r>
      <w:r>
        <w:rPr>
          <w:rFonts w:hint="eastAsia"/>
        </w:rPr>
        <w:t>2019</w:t>
      </w:r>
      <w:r>
        <w:rPr>
          <w:rFonts w:hint="eastAsia"/>
        </w:rPr>
        <w:t>年上半年收入和息税折旧及摊销前利润（</w:t>
      </w:r>
      <w:r>
        <w:rPr>
          <w:rFonts w:hint="eastAsia"/>
        </w:rPr>
        <w:t>EBITDA</w:t>
      </w:r>
      <w:r>
        <w:rPr>
          <w:rFonts w:hint="eastAsia"/>
        </w:rPr>
        <w:t>）分别为</w:t>
      </w:r>
      <w:r>
        <w:rPr>
          <w:rFonts w:hint="eastAsia"/>
        </w:rPr>
        <w:t>45.13</w:t>
      </w:r>
      <w:r>
        <w:rPr>
          <w:rFonts w:hint="eastAsia"/>
        </w:rPr>
        <w:t>亿欧元和</w:t>
      </w:r>
      <w:r>
        <w:rPr>
          <w:rFonts w:hint="eastAsia"/>
        </w:rPr>
        <w:t>5.21</w:t>
      </w:r>
      <w:r>
        <w:rPr>
          <w:rFonts w:hint="eastAsia"/>
        </w:rPr>
        <w:t>亿欧元。这六个月的收入在恒定汇率下的增长率为</w:t>
      </w:r>
      <w:r>
        <w:rPr>
          <w:rFonts w:hint="eastAsia"/>
        </w:rPr>
        <w:t>7.3%</w:t>
      </w:r>
      <w:r>
        <w:rPr>
          <w:rFonts w:hint="eastAsia"/>
        </w:rPr>
        <w:t>，其表现在一个充满挑战的市场环境中优于汽车生产市场，超出了</w:t>
      </w:r>
      <w:r>
        <w:rPr>
          <w:rFonts w:hint="eastAsia"/>
        </w:rPr>
        <w:t>13</w:t>
      </w:r>
      <w:r>
        <w:rPr>
          <w:rFonts w:hint="eastAsia"/>
        </w:rPr>
        <w:t>个百分点。</w:t>
      </w:r>
      <w:r>
        <w:rPr>
          <w:rFonts w:hint="eastAsia"/>
        </w:rPr>
        <w:t xml:space="preserve"> </w:t>
      </w:r>
    </w:p>
    <w:p w14:paraId="74FB814B" w14:textId="3A807163" w:rsidR="00710CDB" w:rsidRPr="00710CDB" w:rsidRDefault="00A76EAD" w:rsidP="00731783">
      <w:pPr>
        <w:spacing w:after="201" w:line="239" w:lineRule="auto"/>
        <w:ind w:right="-13"/>
        <w:rPr>
          <w:color w:val="auto"/>
        </w:rPr>
      </w:pPr>
      <w:r>
        <w:rPr>
          <w:rFonts w:hint="eastAsia"/>
        </w:rPr>
        <w:t>2019</w:t>
      </w:r>
      <w:r>
        <w:rPr>
          <w:rFonts w:hint="eastAsia"/>
        </w:rPr>
        <w:t>年上半年的息税折旧及摊销前利润（</w:t>
      </w:r>
      <w:r>
        <w:rPr>
          <w:rFonts w:hint="eastAsia"/>
        </w:rPr>
        <w:t>EBITDA</w:t>
      </w:r>
      <w:r>
        <w:rPr>
          <w:rFonts w:hint="eastAsia"/>
        </w:rPr>
        <w:t>）为</w:t>
      </w:r>
      <w:r>
        <w:rPr>
          <w:rFonts w:hint="eastAsia"/>
        </w:rPr>
        <w:t>5.21</w:t>
      </w:r>
      <w:r>
        <w:rPr>
          <w:rFonts w:hint="eastAsia"/>
        </w:rPr>
        <w:t>亿欧元，在恒定汇率下增长了</w:t>
      </w:r>
      <w:r>
        <w:rPr>
          <w:rFonts w:hint="eastAsia"/>
        </w:rPr>
        <w:t>9.0%</w:t>
      </w:r>
      <w:r>
        <w:rPr>
          <w:rFonts w:hint="eastAsia"/>
        </w:rPr>
        <w:t>。尽管市场环境充满挑战，但海斯坦普在收入和息税折旧及摊销前利润（</w:t>
      </w:r>
      <w:r>
        <w:rPr>
          <w:rFonts w:hint="eastAsia"/>
        </w:rPr>
        <w:t>EBITDA</w:t>
      </w:r>
      <w:r>
        <w:rPr>
          <w:rFonts w:hint="eastAsia"/>
        </w:rPr>
        <w:t>）方面创下了同期历史最佳记录。</w:t>
      </w:r>
    </w:p>
    <w:tbl>
      <w:tblPr>
        <w:tblpPr w:leftFromText="141" w:rightFromText="141" w:bottomFromText="70" w:vertAnchor="text"/>
        <w:tblW w:w="8640" w:type="dxa"/>
        <w:tblCellMar>
          <w:left w:w="0" w:type="dxa"/>
          <w:right w:w="0" w:type="dxa"/>
        </w:tblCellMar>
        <w:tblLook w:val="04A0" w:firstRow="1" w:lastRow="0" w:firstColumn="1" w:lastColumn="0" w:noHBand="0" w:noVBand="1"/>
      </w:tblPr>
      <w:tblGrid>
        <w:gridCol w:w="2054"/>
        <w:gridCol w:w="1546"/>
        <w:gridCol w:w="1626"/>
        <w:gridCol w:w="3414"/>
      </w:tblGrid>
      <w:tr w:rsidR="000E5573" w14:paraId="291D79C6" w14:textId="77777777" w:rsidTr="0030138C">
        <w:trPr>
          <w:trHeight w:val="426"/>
        </w:trPr>
        <w:tc>
          <w:tcPr>
            <w:tcW w:w="2054" w:type="dxa"/>
            <w:shd w:val="clear" w:color="auto" w:fill="222A35"/>
            <w:tcMar>
              <w:top w:w="0" w:type="dxa"/>
              <w:left w:w="108" w:type="dxa"/>
              <w:bottom w:w="0" w:type="dxa"/>
              <w:right w:w="108" w:type="dxa"/>
            </w:tcMar>
            <w:vAlign w:val="center"/>
            <w:hideMark/>
          </w:tcPr>
          <w:p w14:paraId="6A0A2CD6" w14:textId="77777777" w:rsidR="000E5573" w:rsidRDefault="000E5573" w:rsidP="00E43796">
            <w:pPr>
              <w:spacing w:before="240" w:line="228" w:lineRule="auto"/>
              <w:ind w:right="-13" w:firstLine="0"/>
              <w:jc w:val="center"/>
              <w:rPr>
                <w:b/>
                <w:bCs/>
                <w:color w:val="FFFFFF"/>
                <w:sz w:val="18"/>
                <w:szCs w:val="18"/>
              </w:rPr>
            </w:pPr>
            <w:r>
              <w:rPr>
                <w:rFonts w:hint="eastAsia"/>
                <w:b/>
                <w:bCs/>
                <w:color w:val="FFFFFF"/>
                <w:sz w:val="18"/>
                <w:szCs w:val="18"/>
              </w:rPr>
              <w:t>百万欧元</w:t>
            </w:r>
          </w:p>
        </w:tc>
        <w:tc>
          <w:tcPr>
            <w:tcW w:w="1546" w:type="dxa"/>
            <w:shd w:val="clear" w:color="auto" w:fill="222A35"/>
            <w:tcMar>
              <w:top w:w="0" w:type="dxa"/>
              <w:left w:w="108" w:type="dxa"/>
              <w:bottom w:w="0" w:type="dxa"/>
              <w:right w:w="108" w:type="dxa"/>
            </w:tcMar>
            <w:vAlign w:val="center"/>
            <w:hideMark/>
          </w:tcPr>
          <w:p w14:paraId="2366EEED" w14:textId="77777777" w:rsidR="000E5573" w:rsidRDefault="000E5573" w:rsidP="00E43796">
            <w:pPr>
              <w:spacing w:before="240" w:line="228" w:lineRule="auto"/>
              <w:ind w:right="-13" w:firstLine="0"/>
              <w:jc w:val="center"/>
              <w:rPr>
                <w:rFonts w:ascii="Calibri" w:hAnsi="Calibri" w:cs="Calibri"/>
                <w:b/>
                <w:bCs/>
                <w:color w:val="FFFFFF"/>
                <w:sz w:val="18"/>
                <w:szCs w:val="18"/>
              </w:rPr>
            </w:pPr>
            <w:r>
              <w:rPr>
                <w:rFonts w:hint="eastAsia"/>
                <w:b/>
                <w:bCs/>
                <w:color w:val="FFFFFF"/>
                <w:sz w:val="18"/>
                <w:szCs w:val="18"/>
              </w:rPr>
              <w:t>2018</w:t>
            </w:r>
            <w:r>
              <w:rPr>
                <w:rFonts w:hint="eastAsia"/>
                <w:b/>
                <w:bCs/>
                <w:color w:val="FFFFFF"/>
                <w:sz w:val="18"/>
                <w:szCs w:val="18"/>
              </w:rPr>
              <w:t>年上半年</w:t>
            </w:r>
          </w:p>
        </w:tc>
        <w:tc>
          <w:tcPr>
            <w:tcW w:w="1626" w:type="dxa"/>
            <w:shd w:val="clear" w:color="auto" w:fill="222A35"/>
            <w:tcMar>
              <w:top w:w="0" w:type="dxa"/>
              <w:left w:w="108" w:type="dxa"/>
              <w:bottom w:w="0" w:type="dxa"/>
              <w:right w:w="108" w:type="dxa"/>
            </w:tcMar>
            <w:vAlign w:val="center"/>
            <w:hideMark/>
          </w:tcPr>
          <w:p w14:paraId="3EE8C421" w14:textId="77777777" w:rsidR="000E5573" w:rsidRDefault="000E5573" w:rsidP="00E43796">
            <w:pPr>
              <w:spacing w:before="240" w:line="228" w:lineRule="auto"/>
              <w:ind w:right="-13" w:firstLine="0"/>
              <w:jc w:val="center"/>
              <w:rPr>
                <w:b/>
                <w:bCs/>
                <w:color w:val="FFFFFF"/>
                <w:sz w:val="18"/>
                <w:szCs w:val="18"/>
              </w:rPr>
            </w:pPr>
            <w:r>
              <w:rPr>
                <w:rFonts w:hint="eastAsia"/>
                <w:b/>
                <w:bCs/>
                <w:color w:val="FFFFFF"/>
                <w:sz w:val="18"/>
                <w:szCs w:val="18"/>
              </w:rPr>
              <w:t>2019</w:t>
            </w:r>
            <w:r>
              <w:rPr>
                <w:rFonts w:hint="eastAsia"/>
                <w:b/>
                <w:bCs/>
                <w:color w:val="FFFFFF"/>
                <w:sz w:val="18"/>
                <w:szCs w:val="18"/>
              </w:rPr>
              <w:t>年上半年</w:t>
            </w:r>
          </w:p>
        </w:tc>
        <w:tc>
          <w:tcPr>
            <w:tcW w:w="3414" w:type="dxa"/>
            <w:shd w:val="clear" w:color="auto" w:fill="222A35"/>
            <w:vAlign w:val="center"/>
            <w:hideMark/>
          </w:tcPr>
          <w:p w14:paraId="2D36C482" w14:textId="0A99FD2A" w:rsidR="000E5573" w:rsidRDefault="000E5573" w:rsidP="00E43796">
            <w:pPr>
              <w:spacing w:before="240" w:line="228" w:lineRule="auto"/>
              <w:ind w:right="-11" w:firstLine="0"/>
              <w:jc w:val="center"/>
              <w:rPr>
                <w:b/>
                <w:bCs/>
                <w:color w:val="FFFFFF"/>
                <w:sz w:val="18"/>
                <w:szCs w:val="18"/>
              </w:rPr>
            </w:pPr>
            <w:r>
              <w:rPr>
                <w:rFonts w:hint="eastAsia"/>
                <w:b/>
                <w:bCs/>
                <w:color w:val="FFFFFF"/>
                <w:sz w:val="18"/>
                <w:szCs w:val="18"/>
              </w:rPr>
              <w:t>按不变汇率计增幅（</w:t>
            </w:r>
            <w:r>
              <w:rPr>
                <w:rFonts w:hint="eastAsia"/>
                <w:b/>
                <w:bCs/>
                <w:color w:val="FFFFFF"/>
                <w:sz w:val="18"/>
                <w:szCs w:val="18"/>
              </w:rPr>
              <w:t>%</w:t>
            </w:r>
            <w:r>
              <w:rPr>
                <w:rFonts w:hint="eastAsia"/>
                <w:b/>
                <w:bCs/>
                <w:color w:val="FFFFFF"/>
                <w:sz w:val="18"/>
                <w:szCs w:val="18"/>
              </w:rPr>
              <w:t>）</w:t>
            </w:r>
          </w:p>
        </w:tc>
      </w:tr>
      <w:tr w:rsidR="000E5573" w14:paraId="77AF73EA" w14:textId="77777777" w:rsidTr="0030138C">
        <w:trPr>
          <w:trHeight w:val="509"/>
        </w:trPr>
        <w:tc>
          <w:tcPr>
            <w:tcW w:w="2054" w:type="dxa"/>
            <w:tcMar>
              <w:top w:w="0" w:type="dxa"/>
              <w:left w:w="108" w:type="dxa"/>
              <w:bottom w:w="0" w:type="dxa"/>
              <w:right w:w="108" w:type="dxa"/>
            </w:tcMar>
            <w:vAlign w:val="center"/>
            <w:hideMark/>
          </w:tcPr>
          <w:p w14:paraId="6AD56141" w14:textId="77777777" w:rsidR="000E5573" w:rsidRDefault="000E5573">
            <w:pPr>
              <w:spacing w:after="201" w:line="228" w:lineRule="auto"/>
              <w:ind w:right="-13"/>
              <w:rPr>
                <w:b/>
                <w:bCs/>
                <w:sz w:val="18"/>
                <w:szCs w:val="18"/>
              </w:rPr>
            </w:pPr>
            <w:r>
              <w:rPr>
                <w:rFonts w:hint="eastAsia"/>
                <w:b/>
                <w:bCs/>
                <w:sz w:val="18"/>
                <w:szCs w:val="18"/>
              </w:rPr>
              <w:t>收入</w:t>
            </w:r>
          </w:p>
        </w:tc>
        <w:tc>
          <w:tcPr>
            <w:tcW w:w="1546" w:type="dxa"/>
            <w:tcMar>
              <w:top w:w="0" w:type="dxa"/>
              <w:left w:w="108" w:type="dxa"/>
              <w:bottom w:w="0" w:type="dxa"/>
              <w:right w:w="108" w:type="dxa"/>
            </w:tcMar>
            <w:vAlign w:val="center"/>
            <w:hideMark/>
          </w:tcPr>
          <w:p w14:paraId="1700E547" w14:textId="77777777" w:rsidR="000E5573" w:rsidRDefault="000E5573">
            <w:pPr>
              <w:spacing w:after="201" w:line="228" w:lineRule="auto"/>
              <w:ind w:right="-13"/>
              <w:jc w:val="center"/>
              <w:rPr>
                <w:color w:val="auto"/>
                <w:sz w:val="18"/>
                <w:szCs w:val="18"/>
              </w:rPr>
            </w:pPr>
            <w:r>
              <w:rPr>
                <w:rFonts w:hint="eastAsia"/>
                <w:sz w:val="18"/>
                <w:szCs w:val="18"/>
              </w:rPr>
              <w:t>4,261</w:t>
            </w:r>
          </w:p>
        </w:tc>
        <w:tc>
          <w:tcPr>
            <w:tcW w:w="1626" w:type="dxa"/>
            <w:tcMar>
              <w:top w:w="0" w:type="dxa"/>
              <w:left w:w="108" w:type="dxa"/>
              <w:bottom w:w="0" w:type="dxa"/>
              <w:right w:w="108" w:type="dxa"/>
            </w:tcMar>
            <w:vAlign w:val="center"/>
            <w:hideMark/>
          </w:tcPr>
          <w:p w14:paraId="18688AD2" w14:textId="77777777" w:rsidR="000E5573" w:rsidRDefault="000E5573">
            <w:pPr>
              <w:spacing w:after="201" w:line="228" w:lineRule="auto"/>
              <w:ind w:right="-13"/>
              <w:jc w:val="center"/>
              <w:rPr>
                <w:sz w:val="18"/>
                <w:szCs w:val="18"/>
              </w:rPr>
            </w:pPr>
            <w:r>
              <w:rPr>
                <w:rFonts w:hint="eastAsia"/>
                <w:sz w:val="18"/>
                <w:szCs w:val="18"/>
              </w:rPr>
              <w:t>4,513</w:t>
            </w:r>
          </w:p>
        </w:tc>
        <w:tc>
          <w:tcPr>
            <w:tcW w:w="3414" w:type="dxa"/>
            <w:vAlign w:val="center"/>
            <w:hideMark/>
          </w:tcPr>
          <w:p w14:paraId="56578C55" w14:textId="77777777" w:rsidR="000E5573" w:rsidRDefault="000E5573">
            <w:pPr>
              <w:spacing w:after="201" w:line="228" w:lineRule="auto"/>
              <w:ind w:right="-13"/>
              <w:jc w:val="center"/>
              <w:rPr>
                <w:sz w:val="18"/>
                <w:szCs w:val="18"/>
              </w:rPr>
            </w:pPr>
            <w:r>
              <w:rPr>
                <w:rFonts w:hint="eastAsia"/>
                <w:sz w:val="18"/>
                <w:szCs w:val="18"/>
              </w:rPr>
              <w:t>7.3%</w:t>
            </w:r>
          </w:p>
        </w:tc>
      </w:tr>
      <w:tr w:rsidR="000E5573" w14:paraId="61506D6C" w14:textId="77777777" w:rsidTr="0030138C">
        <w:trPr>
          <w:trHeight w:val="375"/>
        </w:trPr>
        <w:tc>
          <w:tcPr>
            <w:tcW w:w="2054" w:type="dxa"/>
            <w:tcMar>
              <w:top w:w="0" w:type="dxa"/>
              <w:left w:w="108" w:type="dxa"/>
              <w:bottom w:w="0" w:type="dxa"/>
              <w:right w:w="108" w:type="dxa"/>
            </w:tcMar>
            <w:vAlign w:val="center"/>
            <w:hideMark/>
          </w:tcPr>
          <w:p w14:paraId="20FECC73" w14:textId="77777777" w:rsidR="000E5573" w:rsidRDefault="000E5573">
            <w:pPr>
              <w:spacing w:after="201" w:line="228" w:lineRule="auto"/>
              <w:ind w:right="-13"/>
              <w:rPr>
                <w:b/>
                <w:bCs/>
                <w:sz w:val="18"/>
                <w:szCs w:val="18"/>
              </w:rPr>
            </w:pPr>
            <w:r>
              <w:rPr>
                <w:rFonts w:hint="eastAsia"/>
                <w:b/>
                <w:bCs/>
                <w:sz w:val="18"/>
                <w:szCs w:val="18"/>
              </w:rPr>
              <w:t>EBITDA</w:t>
            </w:r>
          </w:p>
        </w:tc>
        <w:tc>
          <w:tcPr>
            <w:tcW w:w="1546" w:type="dxa"/>
            <w:tcMar>
              <w:top w:w="0" w:type="dxa"/>
              <w:left w:w="108" w:type="dxa"/>
              <w:bottom w:w="0" w:type="dxa"/>
              <w:right w:w="108" w:type="dxa"/>
            </w:tcMar>
            <w:vAlign w:val="center"/>
            <w:hideMark/>
          </w:tcPr>
          <w:p w14:paraId="69F615BE" w14:textId="77777777" w:rsidR="000E5573" w:rsidRDefault="000E5573">
            <w:pPr>
              <w:spacing w:after="201" w:line="228" w:lineRule="auto"/>
              <w:ind w:right="-13"/>
              <w:jc w:val="center"/>
              <w:rPr>
                <w:sz w:val="18"/>
                <w:szCs w:val="18"/>
              </w:rPr>
            </w:pPr>
            <w:r>
              <w:rPr>
                <w:rFonts w:hint="eastAsia"/>
                <w:sz w:val="18"/>
                <w:szCs w:val="18"/>
              </w:rPr>
              <w:t>486</w:t>
            </w:r>
          </w:p>
        </w:tc>
        <w:tc>
          <w:tcPr>
            <w:tcW w:w="1626" w:type="dxa"/>
            <w:tcMar>
              <w:top w:w="0" w:type="dxa"/>
              <w:left w:w="108" w:type="dxa"/>
              <w:bottom w:w="0" w:type="dxa"/>
              <w:right w:w="108" w:type="dxa"/>
            </w:tcMar>
            <w:vAlign w:val="center"/>
            <w:hideMark/>
          </w:tcPr>
          <w:p w14:paraId="20ACFC2F" w14:textId="77777777" w:rsidR="000E5573" w:rsidRDefault="000E5573">
            <w:pPr>
              <w:spacing w:after="201" w:line="228" w:lineRule="auto"/>
              <w:ind w:right="-13"/>
              <w:jc w:val="center"/>
              <w:rPr>
                <w:sz w:val="18"/>
                <w:szCs w:val="18"/>
              </w:rPr>
            </w:pPr>
            <w:r>
              <w:rPr>
                <w:rFonts w:hint="eastAsia"/>
                <w:sz w:val="18"/>
                <w:szCs w:val="18"/>
              </w:rPr>
              <w:t>521</w:t>
            </w:r>
          </w:p>
        </w:tc>
        <w:tc>
          <w:tcPr>
            <w:tcW w:w="3414" w:type="dxa"/>
            <w:vAlign w:val="center"/>
            <w:hideMark/>
          </w:tcPr>
          <w:p w14:paraId="41151842" w14:textId="77777777" w:rsidR="000E5573" w:rsidRDefault="000E5573">
            <w:pPr>
              <w:spacing w:after="201" w:line="228" w:lineRule="auto"/>
              <w:ind w:right="-13"/>
              <w:jc w:val="center"/>
              <w:rPr>
                <w:sz w:val="18"/>
                <w:szCs w:val="18"/>
              </w:rPr>
            </w:pPr>
            <w:r>
              <w:rPr>
                <w:rFonts w:hint="eastAsia"/>
                <w:sz w:val="18"/>
                <w:szCs w:val="18"/>
              </w:rPr>
              <w:t>9.0%</w:t>
            </w:r>
          </w:p>
        </w:tc>
      </w:tr>
      <w:tr w:rsidR="000E5573" w14:paraId="74E9485B" w14:textId="77777777" w:rsidTr="0030138C">
        <w:trPr>
          <w:trHeight w:val="375"/>
        </w:trPr>
        <w:tc>
          <w:tcPr>
            <w:tcW w:w="2054" w:type="dxa"/>
            <w:tcMar>
              <w:top w:w="0" w:type="dxa"/>
              <w:left w:w="108" w:type="dxa"/>
              <w:bottom w:w="0" w:type="dxa"/>
              <w:right w:w="108" w:type="dxa"/>
            </w:tcMar>
            <w:vAlign w:val="center"/>
            <w:hideMark/>
          </w:tcPr>
          <w:p w14:paraId="6582B315" w14:textId="77777777" w:rsidR="000E5573" w:rsidRDefault="000E5573">
            <w:pPr>
              <w:spacing w:after="201" w:line="228" w:lineRule="auto"/>
              <w:ind w:right="-13"/>
              <w:rPr>
                <w:b/>
                <w:bCs/>
                <w:sz w:val="18"/>
                <w:szCs w:val="18"/>
              </w:rPr>
            </w:pPr>
            <w:r>
              <w:rPr>
                <w:rFonts w:hint="eastAsia"/>
                <w:b/>
                <w:bCs/>
                <w:sz w:val="18"/>
                <w:szCs w:val="18"/>
              </w:rPr>
              <w:t>EBIT</w:t>
            </w:r>
          </w:p>
        </w:tc>
        <w:tc>
          <w:tcPr>
            <w:tcW w:w="1546" w:type="dxa"/>
            <w:tcMar>
              <w:top w:w="0" w:type="dxa"/>
              <w:left w:w="108" w:type="dxa"/>
              <w:bottom w:w="0" w:type="dxa"/>
              <w:right w:w="108" w:type="dxa"/>
            </w:tcMar>
            <w:vAlign w:val="center"/>
            <w:hideMark/>
          </w:tcPr>
          <w:p w14:paraId="621D0737" w14:textId="77777777" w:rsidR="000E5573" w:rsidRDefault="000E5573">
            <w:pPr>
              <w:spacing w:after="201" w:line="228" w:lineRule="auto"/>
              <w:ind w:right="-13"/>
              <w:jc w:val="center"/>
              <w:rPr>
                <w:sz w:val="18"/>
                <w:szCs w:val="18"/>
              </w:rPr>
            </w:pPr>
            <w:r>
              <w:rPr>
                <w:rFonts w:hint="eastAsia"/>
                <w:sz w:val="18"/>
                <w:szCs w:val="18"/>
              </w:rPr>
              <w:t>275</w:t>
            </w:r>
          </w:p>
        </w:tc>
        <w:tc>
          <w:tcPr>
            <w:tcW w:w="1626" w:type="dxa"/>
            <w:tcMar>
              <w:top w:w="0" w:type="dxa"/>
              <w:left w:w="108" w:type="dxa"/>
              <w:bottom w:w="0" w:type="dxa"/>
              <w:right w:w="108" w:type="dxa"/>
            </w:tcMar>
            <w:vAlign w:val="center"/>
            <w:hideMark/>
          </w:tcPr>
          <w:p w14:paraId="0EAAB9FA" w14:textId="77777777" w:rsidR="000E5573" w:rsidRDefault="000E5573">
            <w:pPr>
              <w:spacing w:after="201" w:line="228" w:lineRule="auto"/>
              <w:ind w:right="-13"/>
              <w:jc w:val="center"/>
              <w:rPr>
                <w:sz w:val="18"/>
                <w:szCs w:val="18"/>
              </w:rPr>
            </w:pPr>
            <w:r>
              <w:rPr>
                <w:rFonts w:hint="eastAsia"/>
                <w:sz w:val="18"/>
                <w:szCs w:val="18"/>
              </w:rPr>
              <w:t>244</w:t>
            </w:r>
          </w:p>
        </w:tc>
        <w:tc>
          <w:tcPr>
            <w:tcW w:w="3414" w:type="dxa"/>
            <w:vAlign w:val="center"/>
          </w:tcPr>
          <w:p w14:paraId="03AF3DFA" w14:textId="77777777" w:rsidR="000E5573" w:rsidRDefault="000E5573">
            <w:pPr>
              <w:spacing w:after="201" w:line="228" w:lineRule="auto"/>
              <w:ind w:right="-13"/>
              <w:jc w:val="center"/>
              <w:rPr>
                <w:sz w:val="18"/>
                <w:szCs w:val="18"/>
                <w:lang w:val="en-US"/>
              </w:rPr>
            </w:pPr>
          </w:p>
        </w:tc>
      </w:tr>
      <w:tr w:rsidR="000E5573" w14:paraId="4EF0541E" w14:textId="77777777" w:rsidTr="0030138C">
        <w:trPr>
          <w:trHeight w:val="135"/>
        </w:trPr>
        <w:tc>
          <w:tcPr>
            <w:tcW w:w="2054" w:type="dxa"/>
            <w:tcBorders>
              <w:top w:val="nil"/>
              <w:left w:val="nil"/>
              <w:bottom w:val="single" w:sz="8" w:space="0" w:color="auto"/>
              <w:right w:val="nil"/>
            </w:tcBorders>
            <w:tcMar>
              <w:top w:w="0" w:type="dxa"/>
              <w:left w:w="108" w:type="dxa"/>
              <w:bottom w:w="0" w:type="dxa"/>
              <w:right w:w="108" w:type="dxa"/>
            </w:tcMar>
            <w:vAlign w:val="center"/>
            <w:hideMark/>
          </w:tcPr>
          <w:p w14:paraId="3489AF2A" w14:textId="77777777" w:rsidR="000E5573" w:rsidRDefault="000E5573">
            <w:pPr>
              <w:spacing w:after="201" w:line="228" w:lineRule="auto"/>
              <w:ind w:right="-13"/>
              <w:rPr>
                <w:b/>
                <w:bCs/>
                <w:sz w:val="18"/>
                <w:szCs w:val="18"/>
              </w:rPr>
            </w:pPr>
            <w:r>
              <w:rPr>
                <w:rFonts w:hint="eastAsia"/>
                <w:b/>
                <w:bCs/>
                <w:sz w:val="18"/>
                <w:szCs w:val="18"/>
              </w:rPr>
              <w:t>净利润</w:t>
            </w:r>
          </w:p>
        </w:tc>
        <w:tc>
          <w:tcPr>
            <w:tcW w:w="1546" w:type="dxa"/>
            <w:tcBorders>
              <w:top w:val="nil"/>
              <w:left w:val="nil"/>
              <w:bottom w:val="single" w:sz="8" w:space="0" w:color="auto"/>
              <w:right w:val="nil"/>
            </w:tcBorders>
            <w:tcMar>
              <w:top w:w="0" w:type="dxa"/>
              <w:left w:w="108" w:type="dxa"/>
              <w:bottom w:w="0" w:type="dxa"/>
              <w:right w:w="108" w:type="dxa"/>
            </w:tcMar>
            <w:vAlign w:val="center"/>
            <w:hideMark/>
          </w:tcPr>
          <w:p w14:paraId="2111AB83" w14:textId="77777777" w:rsidR="000E5573" w:rsidRDefault="000E5573">
            <w:pPr>
              <w:spacing w:after="201" w:line="228" w:lineRule="auto"/>
              <w:ind w:right="-13"/>
              <w:jc w:val="center"/>
              <w:rPr>
                <w:sz w:val="18"/>
                <w:szCs w:val="18"/>
              </w:rPr>
            </w:pPr>
            <w:r>
              <w:rPr>
                <w:rFonts w:hint="eastAsia"/>
                <w:sz w:val="18"/>
                <w:szCs w:val="18"/>
              </w:rPr>
              <w:t>132</w:t>
            </w:r>
          </w:p>
        </w:tc>
        <w:tc>
          <w:tcPr>
            <w:tcW w:w="1626" w:type="dxa"/>
            <w:tcBorders>
              <w:top w:val="nil"/>
              <w:left w:val="nil"/>
              <w:bottom w:val="single" w:sz="8" w:space="0" w:color="auto"/>
              <w:right w:val="nil"/>
            </w:tcBorders>
            <w:tcMar>
              <w:top w:w="0" w:type="dxa"/>
              <w:left w:w="108" w:type="dxa"/>
              <w:bottom w:w="0" w:type="dxa"/>
              <w:right w:w="108" w:type="dxa"/>
            </w:tcMar>
            <w:vAlign w:val="center"/>
            <w:hideMark/>
          </w:tcPr>
          <w:p w14:paraId="3DED7E7B" w14:textId="77777777" w:rsidR="000E5573" w:rsidRDefault="000E5573">
            <w:pPr>
              <w:spacing w:after="201" w:line="228" w:lineRule="auto"/>
              <w:ind w:right="-13"/>
              <w:jc w:val="center"/>
              <w:rPr>
                <w:sz w:val="18"/>
                <w:szCs w:val="18"/>
              </w:rPr>
            </w:pPr>
            <w:r>
              <w:rPr>
                <w:rFonts w:hint="eastAsia"/>
                <w:sz w:val="18"/>
                <w:szCs w:val="18"/>
              </w:rPr>
              <w:t>100</w:t>
            </w:r>
          </w:p>
        </w:tc>
        <w:tc>
          <w:tcPr>
            <w:tcW w:w="3414" w:type="dxa"/>
            <w:tcBorders>
              <w:top w:val="nil"/>
              <w:left w:val="nil"/>
              <w:bottom w:val="single" w:sz="8" w:space="0" w:color="auto"/>
              <w:right w:val="nil"/>
            </w:tcBorders>
            <w:vAlign w:val="center"/>
          </w:tcPr>
          <w:p w14:paraId="11DFBA07" w14:textId="77777777" w:rsidR="000E5573" w:rsidRDefault="000E5573">
            <w:pPr>
              <w:spacing w:after="201" w:line="228" w:lineRule="auto"/>
              <w:ind w:right="-13"/>
              <w:jc w:val="center"/>
              <w:rPr>
                <w:sz w:val="18"/>
                <w:szCs w:val="18"/>
                <w:lang w:val="en-GB"/>
              </w:rPr>
            </w:pPr>
          </w:p>
        </w:tc>
      </w:tr>
    </w:tbl>
    <w:p w14:paraId="7F40D34C" w14:textId="207F89F4" w:rsidR="000E5573" w:rsidRPr="0030138C" w:rsidRDefault="000E5573" w:rsidP="0030138C">
      <w:pPr>
        <w:ind w:firstLine="0"/>
        <w:jc w:val="left"/>
        <w:rPr>
          <w:i/>
          <w:sz w:val="18"/>
          <w:szCs w:val="18"/>
        </w:rPr>
      </w:pPr>
      <w:r>
        <w:rPr>
          <w:rFonts w:hint="eastAsia"/>
          <w:i/>
          <w:sz w:val="18"/>
          <w:szCs w:val="18"/>
        </w:rPr>
        <w:t>备注：自</w:t>
      </w:r>
      <w:r>
        <w:rPr>
          <w:rFonts w:hint="eastAsia"/>
          <w:i/>
          <w:sz w:val="18"/>
          <w:szCs w:val="18"/>
        </w:rPr>
        <w:t>2019</w:t>
      </w:r>
      <w:r>
        <w:rPr>
          <w:rFonts w:hint="eastAsia"/>
          <w:i/>
          <w:sz w:val="18"/>
          <w:szCs w:val="18"/>
        </w:rPr>
        <w:t>年</w:t>
      </w:r>
      <w:r>
        <w:rPr>
          <w:rFonts w:hint="eastAsia"/>
          <w:i/>
          <w:sz w:val="18"/>
          <w:szCs w:val="18"/>
        </w:rPr>
        <w:t>1</w:t>
      </w:r>
      <w:r>
        <w:rPr>
          <w:rFonts w:hint="eastAsia"/>
          <w:i/>
          <w:sz w:val="18"/>
          <w:szCs w:val="18"/>
        </w:rPr>
        <w:t>月</w:t>
      </w:r>
      <w:r>
        <w:rPr>
          <w:rFonts w:hint="eastAsia"/>
          <w:i/>
          <w:sz w:val="18"/>
          <w:szCs w:val="18"/>
        </w:rPr>
        <w:t>1</w:t>
      </w:r>
      <w:r>
        <w:rPr>
          <w:rFonts w:hint="eastAsia"/>
          <w:i/>
          <w:sz w:val="18"/>
          <w:szCs w:val="18"/>
        </w:rPr>
        <w:t>日起包含《国际财务报告准则第</w:t>
      </w:r>
      <w:r>
        <w:rPr>
          <w:rFonts w:hint="eastAsia"/>
          <w:i/>
          <w:sz w:val="18"/>
          <w:szCs w:val="18"/>
        </w:rPr>
        <w:t>16</w:t>
      </w:r>
      <w:r>
        <w:rPr>
          <w:rFonts w:hint="eastAsia"/>
          <w:i/>
          <w:sz w:val="18"/>
          <w:szCs w:val="18"/>
        </w:rPr>
        <w:t>号》规定的经营租赁调整</w:t>
      </w:r>
    </w:p>
    <w:p w14:paraId="4A7F6B55" w14:textId="105F42C7" w:rsidR="00972F0D" w:rsidRPr="00972F0D" w:rsidRDefault="00FD1ED9" w:rsidP="00972F0D">
      <w:r>
        <w:rPr>
          <w:rFonts w:hint="eastAsia"/>
        </w:rPr>
        <w:lastRenderedPageBreak/>
        <w:t>2019</w:t>
      </w:r>
      <w:r>
        <w:rPr>
          <w:rFonts w:hint="eastAsia"/>
        </w:rPr>
        <w:t>年上半年期间，由于新项目的增加，海斯坦普继续实现强劲的收入增长。尽管基础市场条件和与项目增加相关的启动成本会产生暂时的负面影响，但海斯坦普的盈利能力仍有所改善，上半年的息税折旧及摊销前利润（</w:t>
      </w:r>
      <w:r>
        <w:rPr>
          <w:rFonts w:hint="eastAsia"/>
        </w:rPr>
        <w:t>EBITDA</w:t>
      </w:r>
      <w:r>
        <w:rPr>
          <w:rFonts w:hint="eastAsia"/>
        </w:rPr>
        <w:t>）率达到</w:t>
      </w:r>
      <w:r>
        <w:rPr>
          <w:rFonts w:hint="eastAsia"/>
        </w:rPr>
        <w:t>11.5%</w:t>
      </w:r>
      <w:r>
        <w:rPr>
          <w:rFonts w:hint="eastAsia"/>
        </w:rPr>
        <w:t>。</w:t>
      </w:r>
      <w:r>
        <w:rPr>
          <w:rFonts w:hint="eastAsia"/>
        </w:rPr>
        <w:t xml:space="preserve"> </w:t>
      </w:r>
    </w:p>
    <w:p w14:paraId="2CB8FEAD" w14:textId="625EDA15" w:rsidR="00972F0D" w:rsidRDefault="00F26933" w:rsidP="00710CDB">
      <w:r>
        <w:rPr>
          <w:rFonts w:hint="eastAsia"/>
        </w:rPr>
        <w:t>今年上半年，海斯坦普的表现优于该所在地区汽车零部件生产市场平均值。主要的增长地区在东欧、北美自由贸易区和南方共同市场。西欧是唯一收入下滑但表现继续优于市场的地区。</w:t>
      </w:r>
      <w:r>
        <w:rPr>
          <w:rFonts w:hint="eastAsia"/>
        </w:rPr>
        <w:t xml:space="preserve"> </w:t>
      </w:r>
    </w:p>
    <w:p w14:paraId="61B95F13" w14:textId="3CEFF3BF" w:rsidR="00A508CE" w:rsidRPr="00A508CE" w:rsidRDefault="00972F0D" w:rsidP="00A508CE">
      <w:r>
        <w:rPr>
          <w:rFonts w:hint="eastAsia"/>
          <w:noProof/>
          <w:lang w:eastAsia="es-ES" w:bidi="ar-SA"/>
        </w:rPr>
        <w:drawing>
          <wp:inline distT="0" distB="0" distL="0" distR="0" wp14:anchorId="2EA006BB" wp14:editId="59D3C311">
            <wp:extent cx="5494020" cy="346519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94020" cy="3465195"/>
                    </a:xfrm>
                    <a:prstGeom prst="rect">
                      <a:avLst/>
                    </a:prstGeom>
                  </pic:spPr>
                </pic:pic>
              </a:graphicData>
            </a:graphic>
          </wp:inline>
        </w:drawing>
      </w:r>
    </w:p>
    <w:p w14:paraId="31634D26" w14:textId="06797B5B" w:rsidR="00710CDB" w:rsidRPr="00710CDB" w:rsidRDefault="00710CDB" w:rsidP="00710CDB">
      <w:r>
        <w:rPr>
          <w:rFonts w:hint="eastAsia"/>
        </w:rPr>
        <w:t>海斯坦普首席执行官</w:t>
      </w:r>
      <w:r>
        <w:rPr>
          <w:rFonts w:hint="eastAsia"/>
        </w:rPr>
        <w:t>Francisco L</w:t>
      </w:r>
      <w:r>
        <w:rPr>
          <w:rFonts w:hint="eastAsia"/>
        </w:rPr>
        <w:t>ó</w:t>
      </w:r>
      <w:r>
        <w:rPr>
          <w:rFonts w:hint="eastAsia"/>
        </w:rPr>
        <w:t>pez Peña</w:t>
      </w:r>
      <w:r>
        <w:rPr>
          <w:rFonts w:hint="eastAsia"/>
        </w:rPr>
        <w:t>谈道：“今年上半年，即使在汽车市场环境仍然充满挑战的困难时期，海斯坦普仍然展示出了超越市场行情的增长能力。我们将继续专注于我们的业务，以便在今年剩余的时间里继续取得优于市场表现的增长。”</w:t>
      </w:r>
      <w:r>
        <w:rPr>
          <w:rFonts w:hint="eastAsia"/>
        </w:rPr>
        <w:t xml:space="preserve"> </w:t>
      </w:r>
    </w:p>
    <w:p w14:paraId="148FCFFB" w14:textId="18DCB719" w:rsidR="007A2039" w:rsidRPr="00710CDB" w:rsidRDefault="00710CDB" w:rsidP="00710CDB">
      <w:pPr>
        <w:rPr>
          <w:color w:val="auto"/>
        </w:rPr>
      </w:pPr>
      <w:r>
        <w:rPr>
          <w:rFonts w:hint="eastAsia"/>
          <w:color w:val="auto"/>
        </w:rPr>
        <w:t>“海斯坦普正在成功地执行其新的项目并陆续收到有关新商机的合作意向，由于汽车制造商特别关注电动化，因此，我们凭借我们的轻量化解决方案和以电池盒为例的新产品处于优势地位，”</w:t>
      </w:r>
      <w:r>
        <w:rPr>
          <w:rFonts w:hint="eastAsia"/>
          <w:color w:val="auto"/>
        </w:rPr>
        <w:t>L</w:t>
      </w:r>
      <w:r>
        <w:rPr>
          <w:rFonts w:hint="eastAsia"/>
          <w:color w:val="auto"/>
        </w:rPr>
        <w:t>ó</w:t>
      </w:r>
      <w:r>
        <w:rPr>
          <w:rFonts w:hint="eastAsia"/>
          <w:color w:val="auto"/>
        </w:rPr>
        <w:t>pez Peña</w:t>
      </w:r>
      <w:r>
        <w:rPr>
          <w:rFonts w:hint="eastAsia"/>
          <w:color w:val="auto"/>
        </w:rPr>
        <w:t>强调道。</w:t>
      </w:r>
    </w:p>
    <w:p w14:paraId="1EE3EBE4" w14:textId="0A5FB42D" w:rsidR="00E62AFA" w:rsidRPr="00E62AFA" w:rsidRDefault="00E62AFA" w:rsidP="00E62AFA">
      <w:pPr>
        <w:spacing w:after="201" w:line="239" w:lineRule="auto"/>
        <w:ind w:right="-13" w:firstLine="0"/>
        <w:rPr>
          <w:b/>
        </w:rPr>
      </w:pPr>
      <w:r>
        <w:rPr>
          <w:rFonts w:hint="eastAsia"/>
          <w:b/>
        </w:rPr>
        <w:t>关于海斯坦普</w:t>
      </w:r>
    </w:p>
    <w:p w14:paraId="2BA9BEB5" w14:textId="6CDCBE6A" w:rsidR="005C3C8D" w:rsidRDefault="00E62AFA" w:rsidP="0030138C">
      <w:pPr>
        <w:spacing w:after="201" w:line="239" w:lineRule="auto"/>
        <w:ind w:right="-13" w:firstLine="0"/>
        <w:rPr>
          <w:color w:val="auto"/>
        </w:rPr>
      </w:pPr>
      <w:r>
        <w:rPr>
          <w:rFonts w:hint="eastAsia"/>
          <w:color w:val="auto"/>
        </w:rPr>
        <w:t>海斯坦普是一家西班牙跨国公司，专门为各大汽车制造商设计、开发和制造高端的汽车零部件。公司采用创新技术开发产品，致力于打造更安全更轻量化的车辆，从而降低能耗并减少对环境的影响。其产品涵盖白车身、底盘和机构件领域。</w:t>
      </w:r>
    </w:p>
    <w:p w14:paraId="6B81DC7F" w14:textId="77777777" w:rsidR="005C3C8D" w:rsidRPr="00E62AFA" w:rsidRDefault="005C3C8D" w:rsidP="0030138C">
      <w:pPr>
        <w:spacing w:after="201" w:line="239" w:lineRule="auto"/>
        <w:ind w:right="-13" w:firstLine="0"/>
        <w:rPr>
          <w:color w:val="auto"/>
          <w:lang w:val="en-GB"/>
        </w:rPr>
      </w:pPr>
    </w:p>
    <w:p w14:paraId="4F5F7323" w14:textId="3EB5B42D" w:rsidR="00E62AFA" w:rsidRPr="007571A8" w:rsidRDefault="00E62AFA" w:rsidP="00E62AFA">
      <w:pPr>
        <w:spacing w:after="201" w:line="228" w:lineRule="auto"/>
        <w:rPr>
          <w:color w:val="auto"/>
        </w:rPr>
      </w:pPr>
      <w:r>
        <w:rPr>
          <w:rFonts w:hint="eastAsia"/>
          <w:color w:val="auto"/>
        </w:rPr>
        <w:t>公司目前在</w:t>
      </w:r>
      <w:r>
        <w:rPr>
          <w:rFonts w:hint="eastAsia"/>
          <w:color w:val="auto"/>
        </w:rPr>
        <w:t>22</w:t>
      </w:r>
      <w:r>
        <w:rPr>
          <w:rFonts w:hint="eastAsia"/>
          <w:color w:val="auto"/>
        </w:rPr>
        <w:t>个国家拥有</w:t>
      </w:r>
      <w:r>
        <w:rPr>
          <w:rFonts w:hint="eastAsia"/>
          <w:color w:val="auto"/>
        </w:rPr>
        <w:t>100</w:t>
      </w:r>
      <w:r>
        <w:rPr>
          <w:rFonts w:hint="eastAsia"/>
          <w:color w:val="auto"/>
        </w:rPr>
        <w:t>多家生产工厂、</w:t>
      </w:r>
      <w:r>
        <w:rPr>
          <w:rFonts w:hint="eastAsia"/>
          <w:color w:val="auto"/>
        </w:rPr>
        <w:t>2</w:t>
      </w:r>
      <w:r>
        <w:rPr>
          <w:rFonts w:hint="eastAsia"/>
          <w:color w:val="auto"/>
        </w:rPr>
        <w:t>个在建工厂和</w:t>
      </w:r>
      <w:r>
        <w:rPr>
          <w:rFonts w:hint="eastAsia"/>
          <w:color w:val="auto"/>
        </w:rPr>
        <w:t>13</w:t>
      </w:r>
      <w:r>
        <w:rPr>
          <w:rFonts w:hint="eastAsia"/>
          <w:color w:val="auto"/>
        </w:rPr>
        <w:t>个研发中心，在全球拥有</w:t>
      </w:r>
      <w:r>
        <w:rPr>
          <w:rFonts w:hint="eastAsia"/>
          <w:color w:val="auto"/>
        </w:rPr>
        <w:t>43,000</w:t>
      </w:r>
      <w:r>
        <w:rPr>
          <w:rFonts w:hint="eastAsia"/>
          <w:color w:val="auto"/>
        </w:rPr>
        <w:t>多名员工。其</w:t>
      </w:r>
      <w:r>
        <w:rPr>
          <w:rFonts w:hint="eastAsia"/>
          <w:color w:val="auto"/>
        </w:rPr>
        <w:t>2018</w:t>
      </w:r>
      <w:r>
        <w:rPr>
          <w:rFonts w:hint="eastAsia"/>
          <w:color w:val="auto"/>
        </w:rPr>
        <w:t>年的营业额为</w:t>
      </w:r>
      <w:proofErr w:type="gramStart"/>
      <w:r>
        <w:rPr>
          <w:rFonts w:hint="eastAsia"/>
          <w:color w:val="auto"/>
        </w:rPr>
        <w:t>85.48</w:t>
      </w:r>
      <w:r>
        <w:rPr>
          <w:rFonts w:hint="eastAsia"/>
          <w:color w:val="auto"/>
        </w:rPr>
        <w:t>亿欧元。海斯坦普已在西班牙证券交易所上市</w:t>
      </w:r>
      <w:proofErr w:type="gramEnd"/>
      <w:r>
        <w:rPr>
          <w:rFonts w:hint="eastAsia"/>
          <w:color w:val="auto"/>
        </w:rPr>
        <w:t>，股票代码：</w:t>
      </w:r>
      <w:r>
        <w:rPr>
          <w:rFonts w:hint="eastAsia"/>
          <w:color w:val="auto"/>
        </w:rPr>
        <w:t>GEST</w:t>
      </w:r>
      <w:r>
        <w:rPr>
          <w:rFonts w:hint="eastAsia"/>
          <w:color w:val="auto"/>
        </w:rPr>
        <w:t>。</w:t>
      </w:r>
    </w:p>
    <w:p w14:paraId="1BD0F5E3" w14:textId="77777777" w:rsidR="00E62AFA" w:rsidRPr="00E62AFA" w:rsidRDefault="00E62AFA" w:rsidP="00E62AFA">
      <w:pPr>
        <w:spacing w:after="201" w:line="237" w:lineRule="auto"/>
        <w:ind w:right="-13" w:firstLine="0"/>
        <w:rPr>
          <w:b/>
          <w:color w:val="auto"/>
        </w:rPr>
      </w:pPr>
      <w:r>
        <w:rPr>
          <w:rFonts w:hint="eastAsia"/>
          <w:b/>
          <w:color w:val="auto"/>
        </w:rPr>
        <w:lastRenderedPageBreak/>
        <w:t>如需要更多信息，请通过以下方式联系：</w:t>
      </w:r>
    </w:p>
    <w:p w14:paraId="3A75B5B8" w14:textId="77777777" w:rsidR="00E62AFA" w:rsidRDefault="00E62AFA" w:rsidP="00E62AFA">
      <w:pPr>
        <w:spacing w:after="0" w:line="240" w:lineRule="auto"/>
        <w:ind w:right="0" w:firstLine="0"/>
        <w:jc w:val="left"/>
      </w:pPr>
      <w:r>
        <w:rPr>
          <w:rFonts w:hint="eastAsia"/>
        </w:rPr>
        <w:t>海斯坦普新闻发言人</w:t>
      </w:r>
      <w:r>
        <w:rPr>
          <w:rFonts w:hint="eastAsia"/>
        </w:rPr>
        <w:t xml:space="preserve"> Gonzalo Prieto </w:t>
      </w:r>
    </w:p>
    <w:p w14:paraId="50C92CC8" w14:textId="4B6EE5BD" w:rsidR="00E62AFA" w:rsidRDefault="00E62AFA" w:rsidP="00E62AFA">
      <w:pPr>
        <w:spacing w:after="0" w:line="240" w:lineRule="auto"/>
        <w:ind w:right="0" w:firstLine="0"/>
        <w:jc w:val="left"/>
      </w:pPr>
      <w:r>
        <w:rPr>
          <w:rFonts w:hint="eastAsia"/>
        </w:rPr>
        <w:t>电子邮箱：</w:t>
      </w:r>
      <w:r>
        <w:rPr>
          <w:rFonts w:hint="eastAsia"/>
        </w:rPr>
        <w:t>gprieto@gestamp.com</w:t>
      </w:r>
    </w:p>
    <w:p w14:paraId="44D97322" w14:textId="7A4E050A" w:rsidR="000606A2" w:rsidRPr="00E62AFA" w:rsidRDefault="00E62AFA" w:rsidP="00E62AFA">
      <w:pPr>
        <w:spacing w:after="0" w:line="240" w:lineRule="auto"/>
        <w:ind w:right="0" w:firstLine="0"/>
        <w:jc w:val="left"/>
        <w:rPr>
          <w:color w:val="auto"/>
        </w:rPr>
      </w:pPr>
      <w:r>
        <w:rPr>
          <w:rFonts w:hint="eastAsia"/>
        </w:rPr>
        <w:t>电话：</w:t>
      </w:r>
      <w:r>
        <w:rPr>
          <w:rFonts w:hint="eastAsia"/>
        </w:rPr>
        <w:t>+ 34 619 406 058</w:t>
      </w:r>
    </w:p>
    <w:sectPr w:rsidR="000606A2" w:rsidRPr="00E62AFA" w:rsidSect="00796DF7">
      <w:headerReference w:type="default" r:id="rId9"/>
      <w:footerReference w:type="default" r:id="rId10"/>
      <w:pgSz w:w="11906" w:h="16838"/>
      <w:pgMar w:top="1849" w:right="1552" w:bottom="1843" w:left="1702"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0A6BD" w14:textId="77777777" w:rsidR="00647449" w:rsidRDefault="00647449" w:rsidP="007A4EE7">
      <w:pPr>
        <w:spacing w:after="0" w:line="240" w:lineRule="auto"/>
      </w:pPr>
      <w:r>
        <w:separator/>
      </w:r>
    </w:p>
  </w:endnote>
  <w:endnote w:type="continuationSeparator" w:id="0">
    <w:p w14:paraId="0450D3C9" w14:textId="77777777" w:rsidR="00647449" w:rsidRDefault="00647449" w:rsidP="007A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14C50" w14:textId="08106ACA" w:rsidR="006C1E30" w:rsidRDefault="00A76EAD" w:rsidP="00820A56">
    <w:pPr>
      <w:pStyle w:val="Piedepgina"/>
      <w:ind w:left="-1701" w:firstLine="0"/>
      <w:jc w:val="left"/>
    </w:pPr>
    <w:r>
      <w:rPr>
        <w:rFonts w:hint="eastAsia"/>
        <w:noProof/>
        <w:lang w:eastAsia="es-ES" w:bidi="ar-SA"/>
      </w:rPr>
      <w:drawing>
        <wp:inline distT="0" distB="0" distL="0" distR="0" wp14:anchorId="78DD7AC8" wp14:editId="307937DD">
          <wp:extent cx="7629525" cy="980586"/>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e_ing.png"/>
                  <pic:cNvPicPr/>
                </pic:nvPicPr>
                <pic:blipFill>
                  <a:blip r:embed="rId1">
                    <a:extLst>
                      <a:ext uri="{28A0092B-C50C-407E-A947-70E740481C1C}">
                        <a14:useLocalDpi xmlns:a14="http://schemas.microsoft.com/office/drawing/2010/main" val="0"/>
                      </a:ext>
                    </a:extLst>
                  </a:blip>
                  <a:stretch>
                    <a:fillRect/>
                  </a:stretch>
                </pic:blipFill>
                <pic:spPr>
                  <a:xfrm>
                    <a:off x="0" y="0"/>
                    <a:ext cx="7744625" cy="995379"/>
                  </a:xfrm>
                  <a:prstGeom prst="rect">
                    <a:avLst/>
                  </a:prstGeom>
                </pic:spPr>
              </pic:pic>
            </a:graphicData>
          </a:graphic>
        </wp:inline>
      </w:drawing>
    </w:r>
  </w:p>
  <w:p w14:paraId="07797C7F" w14:textId="77777777" w:rsidR="006C1E30" w:rsidRDefault="006C1E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0CB94" w14:textId="77777777" w:rsidR="00647449" w:rsidRDefault="00647449" w:rsidP="007A4EE7">
      <w:pPr>
        <w:spacing w:after="0" w:line="240" w:lineRule="auto"/>
      </w:pPr>
      <w:r>
        <w:separator/>
      </w:r>
    </w:p>
  </w:footnote>
  <w:footnote w:type="continuationSeparator" w:id="0">
    <w:p w14:paraId="10CB7796" w14:textId="77777777" w:rsidR="00647449" w:rsidRDefault="00647449" w:rsidP="007A4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802B8" w14:textId="233B200D" w:rsidR="006C1E30" w:rsidRDefault="00A76EAD" w:rsidP="00C575E1">
    <w:pPr>
      <w:pStyle w:val="Encabezado"/>
      <w:ind w:left="-1701" w:firstLine="0"/>
    </w:pPr>
    <w:r>
      <w:rPr>
        <w:rFonts w:hint="eastAsia"/>
        <w:noProof/>
        <w:lang w:eastAsia="es-ES" w:bidi="ar-SA"/>
      </w:rPr>
      <w:drawing>
        <wp:anchor distT="0" distB="0" distL="114300" distR="114300" simplePos="0" relativeHeight="251658240" behindDoc="0" locked="0" layoutInCell="1" allowOverlap="1" wp14:anchorId="1B65D02C" wp14:editId="3014BEB7">
          <wp:simplePos x="0" y="0"/>
          <wp:positionH relativeFrom="column">
            <wp:posOffset>-1080770</wp:posOffset>
          </wp:positionH>
          <wp:positionV relativeFrom="paragraph">
            <wp:posOffset>0</wp:posOffset>
          </wp:positionV>
          <wp:extent cx="7707438" cy="742950"/>
          <wp:effectExtent l="0" t="0" r="825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becera_ing.png"/>
                  <pic:cNvPicPr/>
                </pic:nvPicPr>
                <pic:blipFill>
                  <a:blip r:embed="rId1">
                    <a:extLst>
                      <a:ext uri="{28A0092B-C50C-407E-A947-70E740481C1C}">
                        <a14:useLocalDpi xmlns:a14="http://schemas.microsoft.com/office/drawing/2010/main" val="0"/>
                      </a:ext>
                    </a:extLst>
                  </a:blip>
                  <a:stretch>
                    <a:fillRect/>
                  </a:stretch>
                </pic:blipFill>
                <pic:spPr>
                  <a:xfrm>
                    <a:off x="0" y="0"/>
                    <a:ext cx="7707438" cy="7429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D33F0"/>
    <w:multiLevelType w:val="hybridMultilevel"/>
    <w:tmpl w:val="8990D5EE"/>
    <w:lvl w:ilvl="0" w:tplc="BCD23E0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DBC42C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D02CC5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35A2B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C72810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AF4E0B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FE62E1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2CACC6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332545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7BC1510"/>
    <w:multiLevelType w:val="hybridMultilevel"/>
    <w:tmpl w:val="BAF6273A"/>
    <w:lvl w:ilvl="0" w:tplc="EE12E90A">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380B422B"/>
    <w:multiLevelType w:val="hybridMultilevel"/>
    <w:tmpl w:val="C9AA31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B7C"/>
    <w:rsid w:val="0000179C"/>
    <w:rsid w:val="00007174"/>
    <w:rsid w:val="000105A9"/>
    <w:rsid w:val="00024B8F"/>
    <w:rsid w:val="0002749F"/>
    <w:rsid w:val="00032B7C"/>
    <w:rsid w:val="0003503C"/>
    <w:rsid w:val="000537B5"/>
    <w:rsid w:val="000606A2"/>
    <w:rsid w:val="00063689"/>
    <w:rsid w:val="00072CC9"/>
    <w:rsid w:val="00073EFC"/>
    <w:rsid w:val="0007565A"/>
    <w:rsid w:val="00083B99"/>
    <w:rsid w:val="00086EF0"/>
    <w:rsid w:val="00095E5C"/>
    <w:rsid w:val="000A17DF"/>
    <w:rsid w:val="000B0337"/>
    <w:rsid w:val="000D0183"/>
    <w:rsid w:val="000D02F4"/>
    <w:rsid w:val="000D0AAB"/>
    <w:rsid w:val="000D296C"/>
    <w:rsid w:val="000E5573"/>
    <w:rsid w:val="00107FD5"/>
    <w:rsid w:val="001316E8"/>
    <w:rsid w:val="00137877"/>
    <w:rsid w:val="001460A5"/>
    <w:rsid w:val="001655A7"/>
    <w:rsid w:val="00165D69"/>
    <w:rsid w:val="00175622"/>
    <w:rsid w:val="001872EE"/>
    <w:rsid w:val="00192585"/>
    <w:rsid w:val="00197204"/>
    <w:rsid w:val="001A0E61"/>
    <w:rsid w:val="001A20EB"/>
    <w:rsid w:val="001B5620"/>
    <w:rsid w:val="001C2FBF"/>
    <w:rsid w:val="001C3C65"/>
    <w:rsid w:val="001D1B21"/>
    <w:rsid w:val="001D1F84"/>
    <w:rsid w:val="001D2AF0"/>
    <w:rsid w:val="001D2FB5"/>
    <w:rsid w:val="001E02A5"/>
    <w:rsid w:val="001E2563"/>
    <w:rsid w:val="001E5029"/>
    <w:rsid w:val="001F5A1F"/>
    <w:rsid w:val="001F75C0"/>
    <w:rsid w:val="002018DF"/>
    <w:rsid w:val="00202735"/>
    <w:rsid w:val="0020390B"/>
    <w:rsid w:val="00210E35"/>
    <w:rsid w:val="00216426"/>
    <w:rsid w:val="00224756"/>
    <w:rsid w:val="00227866"/>
    <w:rsid w:val="00241B63"/>
    <w:rsid w:val="00247CA2"/>
    <w:rsid w:val="0025519F"/>
    <w:rsid w:val="00260221"/>
    <w:rsid w:val="002634CC"/>
    <w:rsid w:val="0027093C"/>
    <w:rsid w:val="00271B32"/>
    <w:rsid w:val="00280F7E"/>
    <w:rsid w:val="00281541"/>
    <w:rsid w:val="00295AE5"/>
    <w:rsid w:val="0029617E"/>
    <w:rsid w:val="00297729"/>
    <w:rsid w:val="002A6DEA"/>
    <w:rsid w:val="002B6C3C"/>
    <w:rsid w:val="002C1FB5"/>
    <w:rsid w:val="002C68C7"/>
    <w:rsid w:val="002C7783"/>
    <w:rsid w:val="002D1EC5"/>
    <w:rsid w:val="002D23BB"/>
    <w:rsid w:val="002D4E93"/>
    <w:rsid w:val="002D6F70"/>
    <w:rsid w:val="002F1973"/>
    <w:rsid w:val="002F3443"/>
    <w:rsid w:val="002F374A"/>
    <w:rsid w:val="0030138C"/>
    <w:rsid w:val="00305F1F"/>
    <w:rsid w:val="003171DB"/>
    <w:rsid w:val="003201DA"/>
    <w:rsid w:val="00320F4C"/>
    <w:rsid w:val="00327DBD"/>
    <w:rsid w:val="003305BA"/>
    <w:rsid w:val="00336DE7"/>
    <w:rsid w:val="003528AA"/>
    <w:rsid w:val="00354BB6"/>
    <w:rsid w:val="00354DF5"/>
    <w:rsid w:val="00356944"/>
    <w:rsid w:val="00363895"/>
    <w:rsid w:val="00366082"/>
    <w:rsid w:val="0037194D"/>
    <w:rsid w:val="0037426A"/>
    <w:rsid w:val="00374E0B"/>
    <w:rsid w:val="0038135F"/>
    <w:rsid w:val="0038524B"/>
    <w:rsid w:val="00391B9E"/>
    <w:rsid w:val="003A315C"/>
    <w:rsid w:val="003A48A0"/>
    <w:rsid w:val="003B038B"/>
    <w:rsid w:val="003B1F54"/>
    <w:rsid w:val="003B47DD"/>
    <w:rsid w:val="003B4F94"/>
    <w:rsid w:val="003C120F"/>
    <w:rsid w:val="003C32A2"/>
    <w:rsid w:val="003D7000"/>
    <w:rsid w:val="003F1868"/>
    <w:rsid w:val="00400CF7"/>
    <w:rsid w:val="00400F99"/>
    <w:rsid w:val="00421C37"/>
    <w:rsid w:val="004246B7"/>
    <w:rsid w:val="00426DC2"/>
    <w:rsid w:val="004300AF"/>
    <w:rsid w:val="00430601"/>
    <w:rsid w:val="0044143D"/>
    <w:rsid w:val="00453626"/>
    <w:rsid w:val="00462358"/>
    <w:rsid w:val="00480546"/>
    <w:rsid w:val="004903D9"/>
    <w:rsid w:val="004909BD"/>
    <w:rsid w:val="004A1C27"/>
    <w:rsid w:val="004A4EEF"/>
    <w:rsid w:val="004A5C39"/>
    <w:rsid w:val="004B17F3"/>
    <w:rsid w:val="004C09AF"/>
    <w:rsid w:val="004C2D13"/>
    <w:rsid w:val="004D47DF"/>
    <w:rsid w:val="004D4CDC"/>
    <w:rsid w:val="004D4E14"/>
    <w:rsid w:val="004D72D3"/>
    <w:rsid w:val="004E093D"/>
    <w:rsid w:val="004F48DA"/>
    <w:rsid w:val="004F52B1"/>
    <w:rsid w:val="005034DE"/>
    <w:rsid w:val="005053B4"/>
    <w:rsid w:val="00506E82"/>
    <w:rsid w:val="00515BFD"/>
    <w:rsid w:val="00517921"/>
    <w:rsid w:val="00520D71"/>
    <w:rsid w:val="00521667"/>
    <w:rsid w:val="00522282"/>
    <w:rsid w:val="005244DB"/>
    <w:rsid w:val="005259FA"/>
    <w:rsid w:val="00530F80"/>
    <w:rsid w:val="00531C92"/>
    <w:rsid w:val="0053509F"/>
    <w:rsid w:val="00537093"/>
    <w:rsid w:val="00551A30"/>
    <w:rsid w:val="005604E9"/>
    <w:rsid w:val="00562310"/>
    <w:rsid w:val="005911C2"/>
    <w:rsid w:val="005954B7"/>
    <w:rsid w:val="005A1147"/>
    <w:rsid w:val="005B34E3"/>
    <w:rsid w:val="005B4403"/>
    <w:rsid w:val="005B45E1"/>
    <w:rsid w:val="005B7A2D"/>
    <w:rsid w:val="005C1577"/>
    <w:rsid w:val="005C31FC"/>
    <w:rsid w:val="005C3C8D"/>
    <w:rsid w:val="005D0D91"/>
    <w:rsid w:val="005D318A"/>
    <w:rsid w:val="005D67D5"/>
    <w:rsid w:val="005E0840"/>
    <w:rsid w:val="005F2775"/>
    <w:rsid w:val="00601954"/>
    <w:rsid w:val="0063346E"/>
    <w:rsid w:val="006444A6"/>
    <w:rsid w:val="00647449"/>
    <w:rsid w:val="00647F3B"/>
    <w:rsid w:val="006526E3"/>
    <w:rsid w:val="0066482F"/>
    <w:rsid w:val="00665ED7"/>
    <w:rsid w:val="00667267"/>
    <w:rsid w:val="00675937"/>
    <w:rsid w:val="00675C9F"/>
    <w:rsid w:val="00675E8F"/>
    <w:rsid w:val="00685756"/>
    <w:rsid w:val="006A228D"/>
    <w:rsid w:val="006A5B87"/>
    <w:rsid w:val="006A7B0B"/>
    <w:rsid w:val="006C1E30"/>
    <w:rsid w:val="006C4E1C"/>
    <w:rsid w:val="006D0808"/>
    <w:rsid w:val="006D3F13"/>
    <w:rsid w:val="006D4E85"/>
    <w:rsid w:val="006E2FC4"/>
    <w:rsid w:val="006E4DF9"/>
    <w:rsid w:val="00707AF8"/>
    <w:rsid w:val="00710CDB"/>
    <w:rsid w:val="0071669E"/>
    <w:rsid w:val="00717286"/>
    <w:rsid w:val="007221EB"/>
    <w:rsid w:val="00731783"/>
    <w:rsid w:val="007330B3"/>
    <w:rsid w:val="0073579F"/>
    <w:rsid w:val="007362E5"/>
    <w:rsid w:val="00762EA4"/>
    <w:rsid w:val="00765762"/>
    <w:rsid w:val="007657AF"/>
    <w:rsid w:val="0077567F"/>
    <w:rsid w:val="00775B38"/>
    <w:rsid w:val="00790735"/>
    <w:rsid w:val="00796DF7"/>
    <w:rsid w:val="007A2039"/>
    <w:rsid w:val="007A334D"/>
    <w:rsid w:val="007A4672"/>
    <w:rsid w:val="007A4EE7"/>
    <w:rsid w:val="007B1C0D"/>
    <w:rsid w:val="007B5E43"/>
    <w:rsid w:val="007B6584"/>
    <w:rsid w:val="007B78AF"/>
    <w:rsid w:val="007C7E55"/>
    <w:rsid w:val="007E0B58"/>
    <w:rsid w:val="007E4F1D"/>
    <w:rsid w:val="007E52DA"/>
    <w:rsid w:val="008019FE"/>
    <w:rsid w:val="00801EBD"/>
    <w:rsid w:val="0080628F"/>
    <w:rsid w:val="00814082"/>
    <w:rsid w:val="008179D0"/>
    <w:rsid w:val="008206E8"/>
    <w:rsid w:val="00820A56"/>
    <w:rsid w:val="0083162D"/>
    <w:rsid w:val="008407AE"/>
    <w:rsid w:val="0084115D"/>
    <w:rsid w:val="00845010"/>
    <w:rsid w:val="008475D0"/>
    <w:rsid w:val="00857D2C"/>
    <w:rsid w:val="00865CA0"/>
    <w:rsid w:val="008668A5"/>
    <w:rsid w:val="008717B4"/>
    <w:rsid w:val="008717E7"/>
    <w:rsid w:val="0087193B"/>
    <w:rsid w:val="00880839"/>
    <w:rsid w:val="00885223"/>
    <w:rsid w:val="00890F20"/>
    <w:rsid w:val="008A29DB"/>
    <w:rsid w:val="008A43E9"/>
    <w:rsid w:val="008A4724"/>
    <w:rsid w:val="008A5002"/>
    <w:rsid w:val="008A5EC6"/>
    <w:rsid w:val="008A7C6E"/>
    <w:rsid w:val="008B01AA"/>
    <w:rsid w:val="008D651B"/>
    <w:rsid w:val="008E137D"/>
    <w:rsid w:val="008E1511"/>
    <w:rsid w:val="008E4804"/>
    <w:rsid w:val="009069F0"/>
    <w:rsid w:val="0091268E"/>
    <w:rsid w:val="009278A8"/>
    <w:rsid w:val="00935A5C"/>
    <w:rsid w:val="00972F0D"/>
    <w:rsid w:val="009740B7"/>
    <w:rsid w:val="009801F8"/>
    <w:rsid w:val="00986DFE"/>
    <w:rsid w:val="00990467"/>
    <w:rsid w:val="009939DE"/>
    <w:rsid w:val="00994C15"/>
    <w:rsid w:val="009A41F8"/>
    <w:rsid w:val="009C203E"/>
    <w:rsid w:val="009C6E8D"/>
    <w:rsid w:val="009C7017"/>
    <w:rsid w:val="009D3580"/>
    <w:rsid w:val="009D4536"/>
    <w:rsid w:val="009D6430"/>
    <w:rsid w:val="009D7D58"/>
    <w:rsid w:val="009E1EC8"/>
    <w:rsid w:val="009E608E"/>
    <w:rsid w:val="009F2F9C"/>
    <w:rsid w:val="009F4CEC"/>
    <w:rsid w:val="009F64EA"/>
    <w:rsid w:val="00A066FA"/>
    <w:rsid w:val="00A0702A"/>
    <w:rsid w:val="00A219C1"/>
    <w:rsid w:val="00A229FC"/>
    <w:rsid w:val="00A3277F"/>
    <w:rsid w:val="00A335F4"/>
    <w:rsid w:val="00A35B72"/>
    <w:rsid w:val="00A508CE"/>
    <w:rsid w:val="00A53A73"/>
    <w:rsid w:val="00A543A6"/>
    <w:rsid w:val="00A63692"/>
    <w:rsid w:val="00A643DF"/>
    <w:rsid w:val="00A66854"/>
    <w:rsid w:val="00A73451"/>
    <w:rsid w:val="00A76E1D"/>
    <w:rsid w:val="00A76EAD"/>
    <w:rsid w:val="00A8176A"/>
    <w:rsid w:val="00A8478B"/>
    <w:rsid w:val="00A87948"/>
    <w:rsid w:val="00A905D7"/>
    <w:rsid w:val="00A968CC"/>
    <w:rsid w:val="00AA31F9"/>
    <w:rsid w:val="00AC0FC8"/>
    <w:rsid w:val="00AC593D"/>
    <w:rsid w:val="00AD0520"/>
    <w:rsid w:val="00AD392B"/>
    <w:rsid w:val="00AD74AA"/>
    <w:rsid w:val="00AE1983"/>
    <w:rsid w:val="00AE3C4B"/>
    <w:rsid w:val="00AE40A1"/>
    <w:rsid w:val="00AF2454"/>
    <w:rsid w:val="00AF7351"/>
    <w:rsid w:val="00B060B0"/>
    <w:rsid w:val="00B1521C"/>
    <w:rsid w:val="00B20BFE"/>
    <w:rsid w:val="00B22D25"/>
    <w:rsid w:val="00B23A7F"/>
    <w:rsid w:val="00B2443F"/>
    <w:rsid w:val="00B24D87"/>
    <w:rsid w:val="00B317F1"/>
    <w:rsid w:val="00B342EF"/>
    <w:rsid w:val="00B44CEF"/>
    <w:rsid w:val="00B516A4"/>
    <w:rsid w:val="00B51E8C"/>
    <w:rsid w:val="00B55FB6"/>
    <w:rsid w:val="00B5693D"/>
    <w:rsid w:val="00B613C3"/>
    <w:rsid w:val="00B61BB3"/>
    <w:rsid w:val="00B6210E"/>
    <w:rsid w:val="00B6224A"/>
    <w:rsid w:val="00B64249"/>
    <w:rsid w:val="00B83A30"/>
    <w:rsid w:val="00B84433"/>
    <w:rsid w:val="00B87D13"/>
    <w:rsid w:val="00BA091E"/>
    <w:rsid w:val="00BB2EC1"/>
    <w:rsid w:val="00BB7095"/>
    <w:rsid w:val="00BC2C65"/>
    <w:rsid w:val="00BC32C9"/>
    <w:rsid w:val="00BC79CD"/>
    <w:rsid w:val="00BD5686"/>
    <w:rsid w:val="00BD6363"/>
    <w:rsid w:val="00BE15CE"/>
    <w:rsid w:val="00BE7716"/>
    <w:rsid w:val="00BF7DEF"/>
    <w:rsid w:val="00C256A9"/>
    <w:rsid w:val="00C363D5"/>
    <w:rsid w:val="00C47D9B"/>
    <w:rsid w:val="00C50E45"/>
    <w:rsid w:val="00C51633"/>
    <w:rsid w:val="00C56EFA"/>
    <w:rsid w:val="00C575E1"/>
    <w:rsid w:val="00C620BB"/>
    <w:rsid w:val="00C630F2"/>
    <w:rsid w:val="00C73BE1"/>
    <w:rsid w:val="00C76EC6"/>
    <w:rsid w:val="00C8369D"/>
    <w:rsid w:val="00C84A4F"/>
    <w:rsid w:val="00C85777"/>
    <w:rsid w:val="00C90796"/>
    <w:rsid w:val="00C95DB0"/>
    <w:rsid w:val="00CA7B90"/>
    <w:rsid w:val="00CB0CE3"/>
    <w:rsid w:val="00CB10CD"/>
    <w:rsid w:val="00CB6C07"/>
    <w:rsid w:val="00CC43B9"/>
    <w:rsid w:val="00CD2D9A"/>
    <w:rsid w:val="00CD6439"/>
    <w:rsid w:val="00CD6685"/>
    <w:rsid w:val="00CF4367"/>
    <w:rsid w:val="00CF60D4"/>
    <w:rsid w:val="00D168CB"/>
    <w:rsid w:val="00D17176"/>
    <w:rsid w:val="00D201C4"/>
    <w:rsid w:val="00D22039"/>
    <w:rsid w:val="00D25643"/>
    <w:rsid w:val="00D30C81"/>
    <w:rsid w:val="00D33689"/>
    <w:rsid w:val="00D3601A"/>
    <w:rsid w:val="00D418DD"/>
    <w:rsid w:val="00D4308F"/>
    <w:rsid w:val="00D45D5E"/>
    <w:rsid w:val="00D51B60"/>
    <w:rsid w:val="00D53810"/>
    <w:rsid w:val="00D573E0"/>
    <w:rsid w:val="00D6507C"/>
    <w:rsid w:val="00D66C92"/>
    <w:rsid w:val="00D670E9"/>
    <w:rsid w:val="00D753FA"/>
    <w:rsid w:val="00D76A76"/>
    <w:rsid w:val="00D8539A"/>
    <w:rsid w:val="00D911CE"/>
    <w:rsid w:val="00D94F48"/>
    <w:rsid w:val="00DB6424"/>
    <w:rsid w:val="00DC600C"/>
    <w:rsid w:val="00DF7551"/>
    <w:rsid w:val="00E06638"/>
    <w:rsid w:val="00E07252"/>
    <w:rsid w:val="00E148CE"/>
    <w:rsid w:val="00E24040"/>
    <w:rsid w:val="00E30947"/>
    <w:rsid w:val="00E335B8"/>
    <w:rsid w:val="00E33D30"/>
    <w:rsid w:val="00E43796"/>
    <w:rsid w:val="00E509E8"/>
    <w:rsid w:val="00E60C32"/>
    <w:rsid w:val="00E62AFA"/>
    <w:rsid w:val="00E76730"/>
    <w:rsid w:val="00E81C77"/>
    <w:rsid w:val="00E82F67"/>
    <w:rsid w:val="00E93FD4"/>
    <w:rsid w:val="00E96071"/>
    <w:rsid w:val="00E97A4B"/>
    <w:rsid w:val="00EA07DC"/>
    <w:rsid w:val="00EB2D40"/>
    <w:rsid w:val="00EB65A0"/>
    <w:rsid w:val="00EB7752"/>
    <w:rsid w:val="00EE79FA"/>
    <w:rsid w:val="00EF5F60"/>
    <w:rsid w:val="00EF6DD0"/>
    <w:rsid w:val="00F02446"/>
    <w:rsid w:val="00F0588C"/>
    <w:rsid w:val="00F2201A"/>
    <w:rsid w:val="00F2485D"/>
    <w:rsid w:val="00F26933"/>
    <w:rsid w:val="00F51860"/>
    <w:rsid w:val="00F6448C"/>
    <w:rsid w:val="00F7650F"/>
    <w:rsid w:val="00F82609"/>
    <w:rsid w:val="00F949F3"/>
    <w:rsid w:val="00F961D8"/>
    <w:rsid w:val="00FA3987"/>
    <w:rsid w:val="00FA68ED"/>
    <w:rsid w:val="00FA7073"/>
    <w:rsid w:val="00FD1BB5"/>
    <w:rsid w:val="00FD1ED9"/>
    <w:rsid w:val="00FD3217"/>
    <w:rsid w:val="00FE42BE"/>
    <w:rsid w:val="00FE5EB9"/>
    <w:rsid w:val="00FE6E30"/>
    <w:rsid w:val="00FF184A"/>
    <w:rsid w:val="00FF5CC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423B5B2"/>
  <w15:docId w15:val="{5FB22E0E-ACAB-412A-96FC-BC5123803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es-E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796"/>
    <w:pPr>
      <w:spacing w:after="189" w:line="249" w:lineRule="auto"/>
      <w:ind w:right="1" w:firstLine="350"/>
      <w:jc w:val="both"/>
    </w:pPr>
    <w:rPr>
      <w:rFonts w:ascii="Arial" w:eastAsia="SimSun" w:hAnsi="Arial" w:cs="Arial"/>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rsid w:val="00C90796"/>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3C32A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C32A2"/>
    <w:rPr>
      <w:rFonts w:ascii="Segoe UI" w:eastAsia="SimSun" w:hAnsi="Segoe UI" w:cs="Segoe UI"/>
      <w:color w:val="000000"/>
      <w:sz w:val="18"/>
      <w:szCs w:val="18"/>
    </w:rPr>
  </w:style>
  <w:style w:type="paragraph" w:styleId="Encabezado">
    <w:name w:val="header"/>
    <w:basedOn w:val="Normal"/>
    <w:link w:val="EncabezadoCar"/>
    <w:uiPriority w:val="99"/>
    <w:unhideWhenUsed/>
    <w:rsid w:val="007A4E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4EE7"/>
    <w:rPr>
      <w:rFonts w:ascii="Arial" w:eastAsia="SimSun" w:hAnsi="Arial" w:cs="Arial"/>
      <w:color w:val="000000"/>
    </w:rPr>
  </w:style>
  <w:style w:type="paragraph" w:styleId="Piedepgina">
    <w:name w:val="footer"/>
    <w:basedOn w:val="Normal"/>
    <w:link w:val="PiedepginaCar"/>
    <w:uiPriority w:val="99"/>
    <w:unhideWhenUsed/>
    <w:rsid w:val="007A4E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4EE7"/>
    <w:rPr>
      <w:rFonts w:ascii="Arial" w:eastAsia="SimSun" w:hAnsi="Arial" w:cs="Arial"/>
      <w:color w:val="000000"/>
    </w:rPr>
  </w:style>
  <w:style w:type="paragraph" w:styleId="Textonotapie">
    <w:name w:val="footnote text"/>
    <w:basedOn w:val="Normal"/>
    <w:link w:val="TextonotapieCar"/>
    <w:uiPriority w:val="99"/>
    <w:semiHidden/>
    <w:unhideWhenUsed/>
    <w:rsid w:val="001F5A1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F5A1F"/>
    <w:rPr>
      <w:rFonts w:ascii="Arial" w:eastAsia="SimSun" w:hAnsi="Arial" w:cs="Arial"/>
      <w:color w:val="000000"/>
      <w:sz w:val="20"/>
      <w:szCs w:val="20"/>
    </w:rPr>
  </w:style>
  <w:style w:type="character" w:styleId="Refdenotaalpie">
    <w:name w:val="footnote reference"/>
    <w:basedOn w:val="Fuentedeprrafopredeter"/>
    <w:uiPriority w:val="99"/>
    <w:semiHidden/>
    <w:unhideWhenUsed/>
    <w:rsid w:val="001F5A1F"/>
    <w:rPr>
      <w:vertAlign w:val="superscript"/>
    </w:rPr>
  </w:style>
  <w:style w:type="character" w:styleId="Hipervnculo">
    <w:name w:val="Hyperlink"/>
    <w:basedOn w:val="Fuentedeprrafopredeter"/>
    <w:uiPriority w:val="99"/>
    <w:unhideWhenUsed/>
    <w:rsid w:val="005034DE"/>
    <w:rPr>
      <w:color w:val="0563C1" w:themeColor="hyperlink"/>
      <w:u w:val="single"/>
    </w:rPr>
  </w:style>
  <w:style w:type="character" w:customStyle="1" w:styleId="apple-converted-space">
    <w:name w:val="apple-converted-space"/>
    <w:basedOn w:val="Fuentedeprrafopredeter"/>
    <w:rsid w:val="008A29DB"/>
  </w:style>
  <w:style w:type="paragraph" w:customStyle="1" w:styleId="Default">
    <w:name w:val="Default"/>
    <w:rsid w:val="00BE7716"/>
    <w:pPr>
      <w:autoSpaceDE w:val="0"/>
      <w:autoSpaceDN w:val="0"/>
      <w:adjustRightInd w:val="0"/>
      <w:spacing w:after="0" w:line="240" w:lineRule="auto"/>
    </w:pPr>
    <w:rPr>
      <w:rFonts w:ascii="Arial" w:eastAsia="SimSun" w:hAnsi="Arial" w:cs="Arial"/>
      <w:color w:val="000000"/>
      <w:sz w:val="24"/>
      <w:szCs w:val="24"/>
      <w:lang w:bidi="ar-SA"/>
    </w:rPr>
  </w:style>
  <w:style w:type="paragraph" w:styleId="Prrafodelista">
    <w:name w:val="List Paragraph"/>
    <w:basedOn w:val="Normal"/>
    <w:uiPriority w:val="34"/>
    <w:qFormat/>
    <w:rsid w:val="0038135F"/>
    <w:pPr>
      <w:spacing w:after="0" w:line="240" w:lineRule="auto"/>
      <w:ind w:left="720" w:right="0" w:firstLine="0"/>
      <w:jc w:val="left"/>
    </w:pPr>
    <w:rPr>
      <w:rFonts w:ascii="Calibri" w:eastAsiaTheme="minorHAnsi" w:hAnsi="Calibri" w:cs="Times New Roman"/>
      <w:color w:val="auto"/>
      <w:lang w:bidi="ar-SA"/>
    </w:rPr>
  </w:style>
  <w:style w:type="character" w:styleId="nfasis">
    <w:name w:val="Emphasis"/>
    <w:basedOn w:val="Fuentedeprrafopredeter"/>
    <w:uiPriority w:val="20"/>
    <w:qFormat/>
    <w:rsid w:val="00366082"/>
    <w:rPr>
      <w:i/>
      <w:iCs/>
    </w:rPr>
  </w:style>
  <w:style w:type="character" w:styleId="Refdecomentario">
    <w:name w:val="annotation reference"/>
    <w:basedOn w:val="Fuentedeprrafopredeter"/>
    <w:uiPriority w:val="99"/>
    <w:semiHidden/>
    <w:unhideWhenUsed/>
    <w:rsid w:val="00AA31F9"/>
    <w:rPr>
      <w:sz w:val="16"/>
      <w:szCs w:val="16"/>
    </w:rPr>
  </w:style>
  <w:style w:type="paragraph" w:styleId="Textocomentario">
    <w:name w:val="annotation text"/>
    <w:basedOn w:val="Normal"/>
    <w:link w:val="TextocomentarioCar"/>
    <w:uiPriority w:val="99"/>
    <w:semiHidden/>
    <w:unhideWhenUsed/>
    <w:rsid w:val="00AA31F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A31F9"/>
    <w:rPr>
      <w:rFonts w:ascii="Arial" w:eastAsia="SimSun"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AA31F9"/>
    <w:rPr>
      <w:b/>
      <w:bCs/>
    </w:rPr>
  </w:style>
  <w:style w:type="character" w:customStyle="1" w:styleId="AsuntodelcomentarioCar">
    <w:name w:val="Asunto del comentario Car"/>
    <w:basedOn w:val="TextocomentarioCar"/>
    <w:link w:val="Asuntodelcomentario"/>
    <w:uiPriority w:val="99"/>
    <w:semiHidden/>
    <w:rsid w:val="00AA31F9"/>
    <w:rPr>
      <w:rFonts w:ascii="Arial" w:eastAsia="SimSun" w:hAnsi="Arial" w:cs="Arial"/>
      <w:b/>
      <w:bCs/>
      <w:color w:val="000000"/>
      <w:sz w:val="20"/>
      <w:szCs w:val="20"/>
    </w:rPr>
  </w:style>
  <w:style w:type="paragraph" w:styleId="Revisin">
    <w:name w:val="Revision"/>
    <w:hidden/>
    <w:uiPriority w:val="99"/>
    <w:semiHidden/>
    <w:rsid w:val="00AA31F9"/>
    <w:pPr>
      <w:spacing w:after="0" w:line="240" w:lineRule="auto"/>
    </w:pPr>
    <w:rPr>
      <w:rFonts w:ascii="Arial" w:eastAsia="SimSun" w:hAnsi="Arial" w:cs="Arial"/>
      <w:color w:val="000000"/>
    </w:rPr>
  </w:style>
  <w:style w:type="paragraph" w:styleId="HTMLconformatoprevio">
    <w:name w:val="HTML Preformatted"/>
    <w:basedOn w:val="Normal"/>
    <w:link w:val="HTMLconformatoprevioCar"/>
    <w:uiPriority w:val="99"/>
    <w:unhideWhenUsed/>
    <w:rsid w:val="00400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0" w:firstLine="0"/>
      <w:jc w:val="left"/>
    </w:pPr>
    <w:rPr>
      <w:rFonts w:ascii="Courier New" w:hAnsi="Courier New" w:cs="Courier New"/>
      <w:color w:val="auto"/>
      <w:sz w:val="24"/>
      <w:szCs w:val="24"/>
      <w:lang w:val="en-GB" w:bidi="ar-SA"/>
    </w:rPr>
  </w:style>
  <w:style w:type="character" w:customStyle="1" w:styleId="HTMLconformatoprevioCar">
    <w:name w:val="HTML con formato previo Car"/>
    <w:basedOn w:val="Fuentedeprrafopredeter"/>
    <w:link w:val="HTMLconformatoprevio"/>
    <w:uiPriority w:val="99"/>
    <w:rsid w:val="00400F99"/>
    <w:rPr>
      <w:rFonts w:ascii="Courier New" w:eastAsia="SimSun" w:hAnsi="Courier New" w:cs="Courier New"/>
      <w:sz w:val="24"/>
      <w:szCs w:val="24"/>
      <w:lang w:val="en-GB" w:eastAsia="zh-CN" w:bidi="ar-SA"/>
    </w:rPr>
  </w:style>
  <w:style w:type="table" w:styleId="Tablaconcuadrcula">
    <w:name w:val="Table Grid"/>
    <w:basedOn w:val="Tablanormal"/>
    <w:uiPriority w:val="39"/>
    <w:rsid w:val="00400F99"/>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916">
      <w:bodyDiv w:val="1"/>
      <w:marLeft w:val="0"/>
      <w:marRight w:val="0"/>
      <w:marTop w:val="0"/>
      <w:marBottom w:val="0"/>
      <w:divBdr>
        <w:top w:val="none" w:sz="0" w:space="0" w:color="auto"/>
        <w:left w:val="none" w:sz="0" w:space="0" w:color="auto"/>
        <w:bottom w:val="none" w:sz="0" w:space="0" w:color="auto"/>
        <w:right w:val="none" w:sz="0" w:space="0" w:color="auto"/>
      </w:divBdr>
    </w:div>
    <w:div w:id="27995524">
      <w:bodyDiv w:val="1"/>
      <w:marLeft w:val="0"/>
      <w:marRight w:val="0"/>
      <w:marTop w:val="0"/>
      <w:marBottom w:val="0"/>
      <w:divBdr>
        <w:top w:val="none" w:sz="0" w:space="0" w:color="auto"/>
        <w:left w:val="none" w:sz="0" w:space="0" w:color="auto"/>
        <w:bottom w:val="none" w:sz="0" w:space="0" w:color="auto"/>
        <w:right w:val="none" w:sz="0" w:space="0" w:color="auto"/>
      </w:divBdr>
    </w:div>
    <w:div w:id="242960042">
      <w:bodyDiv w:val="1"/>
      <w:marLeft w:val="0"/>
      <w:marRight w:val="0"/>
      <w:marTop w:val="0"/>
      <w:marBottom w:val="0"/>
      <w:divBdr>
        <w:top w:val="none" w:sz="0" w:space="0" w:color="auto"/>
        <w:left w:val="none" w:sz="0" w:space="0" w:color="auto"/>
        <w:bottom w:val="none" w:sz="0" w:space="0" w:color="auto"/>
        <w:right w:val="none" w:sz="0" w:space="0" w:color="auto"/>
      </w:divBdr>
    </w:div>
    <w:div w:id="515120930">
      <w:bodyDiv w:val="1"/>
      <w:marLeft w:val="0"/>
      <w:marRight w:val="0"/>
      <w:marTop w:val="0"/>
      <w:marBottom w:val="0"/>
      <w:divBdr>
        <w:top w:val="none" w:sz="0" w:space="0" w:color="auto"/>
        <w:left w:val="none" w:sz="0" w:space="0" w:color="auto"/>
        <w:bottom w:val="none" w:sz="0" w:space="0" w:color="auto"/>
        <w:right w:val="none" w:sz="0" w:space="0" w:color="auto"/>
      </w:divBdr>
    </w:div>
    <w:div w:id="538977732">
      <w:bodyDiv w:val="1"/>
      <w:marLeft w:val="0"/>
      <w:marRight w:val="0"/>
      <w:marTop w:val="0"/>
      <w:marBottom w:val="0"/>
      <w:divBdr>
        <w:top w:val="none" w:sz="0" w:space="0" w:color="auto"/>
        <w:left w:val="none" w:sz="0" w:space="0" w:color="auto"/>
        <w:bottom w:val="none" w:sz="0" w:space="0" w:color="auto"/>
        <w:right w:val="none" w:sz="0" w:space="0" w:color="auto"/>
      </w:divBdr>
    </w:div>
    <w:div w:id="709186236">
      <w:bodyDiv w:val="1"/>
      <w:marLeft w:val="0"/>
      <w:marRight w:val="0"/>
      <w:marTop w:val="0"/>
      <w:marBottom w:val="0"/>
      <w:divBdr>
        <w:top w:val="none" w:sz="0" w:space="0" w:color="auto"/>
        <w:left w:val="none" w:sz="0" w:space="0" w:color="auto"/>
        <w:bottom w:val="none" w:sz="0" w:space="0" w:color="auto"/>
        <w:right w:val="none" w:sz="0" w:space="0" w:color="auto"/>
      </w:divBdr>
    </w:div>
    <w:div w:id="721096327">
      <w:bodyDiv w:val="1"/>
      <w:marLeft w:val="0"/>
      <w:marRight w:val="0"/>
      <w:marTop w:val="0"/>
      <w:marBottom w:val="0"/>
      <w:divBdr>
        <w:top w:val="none" w:sz="0" w:space="0" w:color="auto"/>
        <w:left w:val="none" w:sz="0" w:space="0" w:color="auto"/>
        <w:bottom w:val="none" w:sz="0" w:space="0" w:color="auto"/>
        <w:right w:val="none" w:sz="0" w:space="0" w:color="auto"/>
      </w:divBdr>
    </w:div>
    <w:div w:id="802043295">
      <w:bodyDiv w:val="1"/>
      <w:marLeft w:val="0"/>
      <w:marRight w:val="0"/>
      <w:marTop w:val="0"/>
      <w:marBottom w:val="0"/>
      <w:divBdr>
        <w:top w:val="none" w:sz="0" w:space="0" w:color="auto"/>
        <w:left w:val="none" w:sz="0" w:space="0" w:color="auto"/>
        <w:bottom w:val="none" w:sz="0" w:space="0" w:color="auto"/>
        <w:right w:val="none" w:sz="0" w:space="0" w:color="auto"/>
      </w:divBdr>
    </w:div>
    <w:div w:id="1056733722">
      <w:bodyDiv w:val="1"/>
      <w:marLeft w:val="0"/>
      <w:marRight w:val="0"/>
      <w:marTop w:val="0"/>
      <w:marBottom w:val="0"/>
      <w:divBdr>
        <w:top w:val="none" w:sz="0" w:space="0" w:color="auto"/>
        <w:left w:val="none" w:sz="0" w:space="0" w:color="auto"/>
        <w:bottom w:val="none" w:sz="0" w:space="0" w:color="auto"/>
        <w:right w:val="none" w:sz="0" w:space="0" w:color="auto"/>
      </w:divBdr>
    </w:div>
    <w:div w:id="1443261195">
      <w:bodyDiv w:val="1"/>
      <w:marLeft w:val="0"/>
      <w:marRight w:val="0"/>
      <w:marTop w:val="0"/>
      <w:marBottom w:val="0"/>
      <w:divBdr>
        <w:top w:val="none" w:sz="0" w:space="0" w:color="auto"/>
        <w:left w:val="none" w:sz="0" w:space="0" w:color="auto"/>
        <w:bottom w:val="none" w:sz="0" w:space="0" w:color="auto"/>
        <w:right w:val="none" w:sz="0" w:space="0" w:color="auto"/>
      </w:divBdr>
    </w:div>
    <w:div w:id="1468204032">
      <w:bodyDiv w:val="1"/>
      <w:marLeft w:val="0"/>
      <w:marRight w:val="0"/>
      <w:marTop w:val="0"/>
      <w:marBottom w:val="0"/>
      <w:divBdr>
        <w:top w:val="none" w:sz="0" w:space="0" w:color="auto"/>
        <w:left w:val="none" w:sz="0" w:space="0" w:color="auto"/>
        <w:bottom w:val="none" w:sz="0" w:space="0" w:color="auto"/>
        <w:right w:val="none" w:sz="0" w:space="0" w:color="auto"/>
      </w:divBdr>
    </w:div>
    <w:div w:id="1511721862">
      <w:bodyDiv w:val="1"/>
      <w:marLeft w:val="0"/>
      <w:marRight w:val="0"/>
      <w:marTop w:val="0"/>
      <w:marBottom w:val="0"/>
      <w:divBdr>
        <w:top w:val="none" w:sz="0" w:space="0" w:color="auto"/>
        <w:left w:val="none" w:sz="0" w:space="0" w:color="auto"/>
        <w:bottom w:val="none" w:sz="0" w:space="0" w:color="auto"/>
        <w:right w:val="none" w:sz="0" w:space="0" w:color="auto"/>
      </w:divBdr>
    </w:div>
    <w:div w:id="1540894563">
      <w:bodyDiv w:val="1"/>
      <w:marLeft w:val="0"/>
      <w:marRight w:val="0"/>
      <w:marTop w:val="0"/>
      <w:marBottom w:val="0"/>
      <w:divBdr>
        <w:top w:val="none" w:sz="0" w:space="0" w:color="auto"/>
        <w:left w:val="none" w:sz="0" w:space="0" w:color="auto"/>
        <w:bottom w:val="none" w:sz="0" w:space="0" w:color="auto"/>
        <w:right w:val="none" w:sz="0" w:space="0" w:color="auto"/>
      </w:divBdr>
    </w:div>
    <w:div w:id="1624648524">
      <w:bodyDiv w:val="1"/>
      <w:marLeft w:val="0"/>
      <w:marRight w:val="0"/>
      <w:marTop w:val="0"/>
      <w:marBottom w:val="0"/>
      <w:divBdr>
        <w:top w:val="none" w:sz="0" w:space="0" w:color="auto"/>
        <w:left w:val="none" w:sz="0" w:space="0" w:color="auto"/>
        <w:bottom w:val="none" w:sz="0" w:space="0" w:color="auto"/>
        <w:right w:val="none" w:sz="0" w:space="0" w:color="auto"/>
      </w:divBdr>
    </w:div>
    <w:div w:id="1911692108">
      <w:bodyDiv w:val="1"/>
      <w:marLeft w:val="0"/>
      <w:marRight w:val="0"/>
      <w:marTop w:val="0"/>
      <w:marBottom w:val="0"/>
      <w:divBdr>
        <w:top w:val="none" w:sz="0" w:space="0" w:color="auto"/>
        <w:left w:val="none" w:sz="0" w:space="0" w:color="auto"/>
        <w:bottom w:val="none" w:sz="0" w:space="0" w:color="auto"/>
        <w:right w:val="none" w:sz="0" w:space="0" w:color="auto"/>
      </w:divBdr>
    </w:div>
    <w:div w:id="212927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SimSun"/>
        <a:cs typeface=""/>
      </a:majorFont>
      <a:minorFont>
        <a:latin typeface="Calibri"/>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7B253-EA56-409C-83F2-3ECFA6475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239</Words>
  <Characters>1319</Characters>
  <Application>Microsoft Office Word</Application>
  <DocSecurity>4</DocSecurity>
  <Lines>10</Lines>
  <Paragraphs>3</Paragraphs>
  <ScaleCrop>false</ScaleCrop>
  <HeadingPairs>
    <vt:vector size="4" baseType="variant">
      <vt:variant>
        <vt:lpstr>Título</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Gonzalo Prieto</dc:creator>
  <cp:lastModifiedBy>Amaia Garcia Ruiz</cp:lastModifiedBy>
  <cp:revision>2</cp:revision>
  <cp:lastPrinted>2019-07-25T14:46:00Z</cp:lastPrinted>
  <dcterms:created xsi:type="dcterms:W3CDTF">2019-08-08T07:07:00Z</dcterms:created>
  <dcterms:modified xsi:type="dcterms:W3CDTF">2019-08-08T07:07:00Z</dcterms:modified>
</cp:coreProperties>
</file>